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9BE27F">
      <w:pPr>
        <w:autoSpaceDE w:val="0"/>
        <w:autoSpaceDN w:val="0"/>
        <w:adjustRightInd w:val="0"/>
        <w:snapToGrid w:val="0"/>
        <w:jc w:val="center"/>
        <w:rPr>
          <w:rFonts w:hint="eastAsia" w:ascii="仿宋" w:hAnsi="仿宋" w:eastAsia="仿宋" w:cs="仿宋"/>
          <w:b/>
          <w:kern w:val="0"/>
          <w:sz w:val="28"/>
          <w:szCs w:val="28"/>
          <w:lang w:eastAsia="zh-CN"/>
        </w:rPr>
      </w:pPr>
      <w:r>
        <w:rPr>
          <w:rFonts w:hint="eastAsia" w:ascii="仿宋" w:hAnsi="仿宋" w:eastAsia="仿宋" w:cs="仿宋"/>
          <w:b/>
          <w:kern w:val="0"/>
          <w:sz w:val="28"/>
          <w:szCs w:val="28"/>
        </w:rPr>
        <w:t>北京工商大学202</w:t>
      </w:r>
      <w:r>
        <w:rPr>
          <w:rFonts w:hint="eastAsia" w:ascii="仿宋" w:hAnsi="仿宋" w:eastAsia="仿宋" w:cs="仿宋"/>
          <w:b/>
          <w:kern w:val="0"/>
          <w:sz w:val="28"/>
          <w:szCs w:val="28"/>
          <w:lang w:val="en-US" w:eastAsia="zh-CN"/>
        </w:rPr>
        <w:t>6</w:t>
      </w:r>
      <w:r>
        <w:rPr>
          <w:rFonts w:hint="eastAsia" w:ascii="仿宋" w:hAnsi="仿宋" w:eastAsia="仿宋" w:cs="仿宋"/>
          <w:b/>
          <w:kern w:val="0"/>
          <w:sz w:val="28"/>
          <w:szCs w:val="28"/>
        </w:rPr>
        <w:t>/202</w:t>
      </w:r>
      <w:r>
        <w:rPr>
          <w:rFonts w:hint="eastAsia" w:ascii="仿宋" w:hAnsi="仿宋" w:eastAsia="仿宋" w:cs="仿宋"/>
          <w:b/>
          <w:kern w:val="0"/>
          <w:sz w:val="28"/>
          <w:szCs w:val="28"/>
          <w:lang w:val="en-US" w:eastAsia="zh-CN"/>
        </w:rPr>
        <w:t>7</w:t>
      </w:r>
      <w:r>
        <w:rPr>
          <w:rFonts w:hint="eastAsia" w:ascii="仿宋" w:hAnsi="仿宋" w:eastAsia="仿宋" w:cs="仿宋"/>
          <w:b/>
          <w:kern w:val="0"/>
          <w:sz w:val="28"/>
          <w:szCs w:val="28"/>
        </w:rPr>
        <w:t>学年</w:t>
      </w:r>
      <w:r>
        <w:rPr>
          <w:rFonts w:hint="eastAsia" w:ascii="仿宋" w:hAnsi="仿宋" w:eastAsia="仿宋" w:cs="仿宋"/>
          <w:b/>
          <w:kern w:val="0"/>
          <w:sz w:val="28"/>
          <w:szCs w:val="28"/>
          <w:lang w:eastAsia="zh-CN"/>
        </w:rPr>
        <w:t>北京来华留学生政府奖学金</w:t>
      </w:r>
    </w:p>
    <w:p w14:paraId="024CD0BF">
      <w:pPr>
        <w:autoSpaceDE w:val="0"/>
        <w:autoSpaceDN w:val="0"/>
        <w:adjustRightInd w:val="0"/>
        <w:snapToGrid w:val="0"/>
        <w:jc w:val="center"/>
        <w:rPr>
          <w:rFonts w:hint="eastAsia" w:ascii="仿宋" w:hAnsi="仿宋" w:eastAsia="仿宋" w:cs="仿宋"/>
          <w:b/>
          <w:kern w:val="0"/>
          <w:sz w:val="28"/>
          <w:szCs w:val="28"/>
        </w:rPr>
      </w:pPr>
      <w:r>
        <w:rPr>
          <w:rFonts w:hint="eastAsia" w:ascii="仿宋" w:hAnsi="仿宋" w:eastAsia="仿宋" w:cs="仿宋"/>
          <w:b/>
          <w:kern w:val="0"/>
          <w:sz w:val="28"/>
          <w:szCs w:val="28"/>
        </w:rPr>
        <w:t>年度评审工作细则</w:t>
      </w:r>
    </w:p>
    <w:p w14:paraId="57F0E21D">
      <w:pPr>
        <w:autoSpaceDE w:val="0"/>
        <w:autoSpaceDN w:val="0"/>
        <w:adjustRightInd w:val="0"/>
        <w:snapToGrid w:val="0"/>
        <w:jc w:val="center"/>
        <w:rPr>
          <w:rFonts w:hint="eastAsia" w:ascii="仿宋" w:hAnsi="仿宋" w:eastAsia="仿宋" w:cs="仿宋"/>
          <w:b/>
          <w:kern w:val="0"/>
          <w:sz w:val="24"/>
          <w:szCs w:val="24"/>
        </w:rPr>
      </w:pPr>
    </w:p>
    <w:p w14:paraId="4F1F4B41">
      <w:pPr>
        <w:pStyle w:val="13"/>
        <w:spacing w:before="0" w:beforeAutospacing="0" w:after="0" w:afterAutospacing="0"/>
        <w:ind w:firstLine="480"/>
        <w:rPr>
          <w:rFonts w:hint="eastAsia" w:ascii="仿宋" w:hAnsi="仿宋" w:eastAsia="仿宋" w:cstheme="majorEastAsia"/>
          <w:color w:val="000000"/>
        </w:rPr>
      </w:pPr>
      <w:r>
        <w:rPr>
          <w:rFonts w:hint="eastAsia" w:ascii="仿宋" w:hAnsi="仿宋" w:eastAsia="仿宋" w:cstheme="majorEastAsia"/>
          <w:color w:val="000000"/>
        </w:rPr>
        <w:t>为加强对享受</w:t>
      </w:r>
      <w:r>
        <w:rPr>
          <w:rFonts w:hint="eastAsia" w:ascii="仿宋" w:hAnsi="仿宋" w:eastAsia="仿宋" w:cstheme="majorEastAsia"/>
          <w:color w:val="000000"/>
          <w:lang w:eastAsia="zh-CN"/>
        </w:rPr>
        <w:t>北京来华留学生政府奖学金</w:t>
      </w:r>
      <w:r>
        <w:rPr>
          <w:rFonts w:hint="eastAsia" w:ascii="仿宋" w:hAnsi="仿宋" w:eastAsia="仿宋" w:cstheme="majorEastAsia"/>
          <w:color w:val="000000"/>
        </w:rPr>
        <w:t>生的管理，发挥</w:t>
      </w:r>
      <w:r>
        <w:rPr>
          <w:rFonts w:hint="eastAsia" w:ascii="仿宋" w:hAnsi="仿宋" w:eastAsia="仿宋" w:cstheme="majorEastAsia"/>
          <w:color w:val="000000"/>
          <w:lang w:eastAsia="zh-CN"/>
        </w:rPr>
        <w:t>北京来华留学生政府奖学金</w:t>
      </w:r>
      <w:r>
        <w:rPr>
          <w:rFonts w:hint="eastAsia" w:ascii="仿宋" w:hAnsi="仿宋" w:eastAsia="仿宋" w:cstheme="majorEastAsia"/>
          <w:color w:val="000000"/>
        </w:rPr>
        <w:t>的效益和作用，提高奖学金生努力学习、遵纪守法、团结友好的自觉性，培养品学兼优的人才，根据</w:t>
      </w:r>
      <w:r>
        <w:rPr>
          <w:rFonts w:hint="eastAsia" w:ascii="仿宋" w:hAnsi="仿宋" w:eastAsia="仿宋" w:cstheme="majorEastAsia"/>
          <w:color w:val="000000"/>
          <w:lang w:eastAsia="zh-CN"/>
        </w:rPr>
        <w:t>北京来华留学生政府奖学金</w:t>
      </w:r>
      <w:r>
        <w:rPr>
          <w:rFonts w:hint="eastAsia" w:ascii="仿宋" w:hAnsi="仿宋" w:eastAsia="仿宋" w:cstheme="majorEastAsia"/>
          <w:color w:val="000000"/>
        </w:rPr>
        <w:t>有关规定，结合我校的教学和管理的相关规定，特制定本评审细则。</w:t>
      </w:r>
    </w:p>
    <w:p w14:paraId="7E96C97C">
      <w:pPr>
        <w:pStyle w:val="13"/>
        <w:spacing w:before="0" w:beforeAutospacing="0" w:after="0" w:afterAutospacing="0"/>
        <w:ind w:firstLine="480"/>
        <w:rPr>
          <w:rFonts w:hint="eastAsia" w:ascii="仿宋" w:hAnsi="仿宋" w:eastAsia="仿宋" w:cstheme="majorEastAsia"/>
          <w:color w:val="000000"/>
        </w:rPr>
      </w:pPr>
    </w:p>
    <w:p w14:paraId="79BCA82F">
      <w:pPr>
        <w:numPr>
          <w:ilvl w:val="0"/>
          <w:numId w:val="1"/>
        </w:numPr>
        <w:autoSpaceDE w:val="0"/>
        <w:autoSpaceDN w:val="0"/>
        <w:adjustRightInd w:val="0"/>
        <w:snapToGrid w:val="0"/>
        <w:jc w:val="left"/>
        <w:rPr>
          <w:rFonts w:hint="eastAsia" w:ascii="仿宋" w:hAnsi="仿宋" w:eastAsia="仿宋" w:cstheme="majorEastAsia"/>
          <w:b/>
          <w:bCs/>
          <w:kern w:val="0"/>
          <w:sz w:val="24"/>
          <w:szCs w:val="24"/>
        </w:rPr>
      </w:pPr>
      <w:r>
        <w:rPr>
          <w:rFonts w:hint="eastAsia" w:ascii="仿宋" w:hAnsi="仿宋" w:eastAsia="仿宋" w:cstheme="majorEastAsia"/>
          <w:b/>
          <w:bCs/>
          <w:kern w:val="0"/>
          <w:sz w:val="24"/>
          <w:szCs w:val="24"/>
        </w:rPr>
        <w:t>组织机构</w:t>
      </w:r>
    </w:p>
    <w:p w14:paraId="558D02F1">
      <w:pPr>
        <w:autoSpaceDE w:val="0"/>
        <w:autoSpaceDN w:val="0"/>
        <w:adjustRightInd w:val="0"/>
        <w:snapToGrid w:val="0"/>
        <w:ind w:firstLine="480" w:firstLineChars="200"/>
        <w:jc w:val="left"/>
        <w:rPr>
          <w:rFonts w:hint="eastAsia" w:ascii="仿宋" w:hAnsi="仿宋" w:eastAsia="仿宋" w:cstheme="majorEastAsia"/>
          <w:kern w:val="0"/>
          <w:sz w:val="24"/>
          <w:szCs w:val="24"/>
        </w:rPr>
      </w:pPr>
      <w:r>
        <w:rPr>
          <w:rFonts w:hint="eastAsia" w:ascii="仿宋" w:hAnsi="仿宋" w:eastAsia="仿宋" w:cstheme="majorEastAsia"/>
          <w:kern w:val="0"/>
          <w:sz w:val="24"/>
          <w:szCs w:val="24"/>
        </w:rPr>
        <w:t>学校成立“年度评审工作领导小组”（以下</w:t>
      </w:r>
      <w:r>
        <w:rPr>
          <w:rFonts w:ascii="仿宋" w:hAnsi="仿宋" w:eastAsia="仿宋" w:cstheme="majorEastAsia"/>
          <w:kern w:val="0"/>
          <w:sz w:val="24"/>
          <w:szCs w:val="24"/>
        </w:rPr>
        <w:t>简称“</w:t>
      </w:r>
      <w:r>
        <w:rPr>
          <w:rFonts w:hint="eastAsia" w:ascii="仿宋" w:hAnsi="仿宋" w:eastAsia="仿宋" w:cstheme="majorEastAsia"/>
          <w:kern w:val="0"/>
          <w:sz w:val="24"/>
          <w:szCs w:val="24"/>
        </w:rPr>
        <w:t>评审</w:t>
      </w:r>
      <w:r>
        <w:rPr>
          <w:rFonts w:ascii="仿宋" w:hAnsi="仿宋" w:eastAsia="仿宋" w:cstheme="majorEastAsia"/>
          <w:kern w:val="0"/>
          <w:sz w:val="24"/>
          <w:szCs w:val="24"/>
        </w:rPr>
        <w:t>小组”</w:t>
      </w:r>
      <w:r>
        <w:rPr>
          <w:rFonts w:hint="eastAsia" w:ascii="仿宋" w:hAnsi="仿宋" w:eastAsia="仿宋" w:cstheme="majorEastAsia"/>
          <w:kern w:val="0"/>
          <w:sz w:val="24"/>
          <w:szCs w:val="24"/>
        </w:rPr>
        <w:t>），指导和监督各学院及培养单位开展年度评审工作，审议并确定每名学生的最终评审意见。领导小组</w:t>
      </w:r>
      <w:r>
        <w:rPr>
          <w:rFonts w:hint="eastAsia" w:ascii="仿宋" w:hAnsi="仿宋" w:eastAsia="仿宋" w:cstheme="majorEastAsia"/>
          <w:kern w:val="0"/>
          <w:sz w:val="24"/>
          <w:szCs w:val="24"/>
          <w:lang w:val="en-US" w:eastAsia="zh-CN"/>
        </w:rPr>
        <w:t>设在</w:t>
      </w:r>
      <w:r>
        <w:rPr>
          <w:rFonts w:hint="eastAsia" w:ascii="仿宋" w:hAnsi="仿宋" w:eastAsia="仿宋" w:cstheme="majorEastAsia"/>
          <w:kern w:val="0"/>
          <w:sz w:val="24"/>
          <w:szCs w:val="24"/>
        </w:rPr>
        <w:t>国际教育学院，成员单位包括：国际教育学院及参评奖学金生所在学院主管留学生的领导。国际教育学院作为归口执行部门，负责我校年度评审的组织实施工作。</w:t>
      </w:r>
    </w:p>
    <w:p w14:paraId="1DB6B8BC">
      <w:pPr>
        <w:autoSpaceDE w:val="0"/>
        <w:autoSpaceDN w:val="0"/>
        <w:adjustRightInd w:val="0"/>
        <w:snapToGrid w:val="0"/>
        <w:ind w:firstLine="480" w:firstLineChars="200"/>
        <w:jc w:val="left"/>
        <w:rPr>
          <w:rFonts w:hint="eastAsia" w:ascii="仿宋" w:hAnsi="仿宋" w:eastAsia="仿宋" w:cstheme="majorEastAsia"/>
          <w:kern w:val="0"/>
          <w:sz w:val="24"/>
          <w:szCs w:val="24"/>
        </w:rPr>
      </w:pPr>
    </w:p>
    <w:p w14:paraId="05D9CE54">
      <w:pPr>
        <w:numPr>
          <w:ilvl w:val="0"/>
          <w:numId w:val="1"/>
        </w:numPr>
        <w:autoSpaceDE w:val="0"/>
        <w:autoSpaceDN w:val="0"/>
        <w:adjustRightInd w:val="0"/>
        <w:snapToGrid w:val="0"/>
        <w:jc w:val="left"/>
        <w:rPr>
          <w:rFonts w:hint="eastAsia" w:ascii="仿宋" w:hAnsi="仿宋" w:eastAsia="仿宋" w:cstheme="majorEastAsia"/>
          <w:b/>
          <w:bCs/>
          <w:kern w:val="0"/>
          <w:sz w:val="24"/>
          <w:szCs w:val="24"/>
        </w:rPr>
      </w:pPr>
      <w:r>
        <w:rPr>
          <w:rFonts w:hint="eastAsia" w:ascii="仿宋" w:hAnsi="仿宋" w:eastAsia="仿宋" w:cstheme="majorEastAsia"/>
          <w:b/>
          <w:bCs/>
          <w:kern w:val="0"/>
          <w:sz w:val="24"/>
          <w:szCs w:val="24"/>
        </w:rPr>
        <w:t>评审对象</w:t>
      </w:r>
    </w:p>
    <w:p w14:paraId="0FCD31AD">
      <w:pPr>
        <w:autoSpaceDE w:val="0"/>
        <w:autoSpaceDN w:val="0"/>
        <w:adjustRightInd w:val="0"/>
        <w:snapToGrid w:val="0"/>
        <w:ind w:firstLine="480" w:firstLineChars="200"/>
        <w:jc w:val="left"/>
        <w:rPr>
          <w:rFonts w:hint="eastAsia" w:ascii="仿宋" w:hAnsi="仿宋" w:eastAsia="仿宋" w:cstheme="majorEastAsia"/>
          <w:color w:val="FF0000"/>
          <w:kern w:val="0"/>
          <w:sz w:val="24"/>
          <w:szCs w:val="24"/>
          <w:highlight w:val="none"/>
        </w:rPr>
      </w:pPr>
      <w:r>
        <w:rPr>
          <w:rFonts w:hint="eastAsia" w:ascii="仿宋" w:hAnsi="仿宋" w:eastAsia="仿宋" w:cstheme="majorEastAsia"/>
          <w:kern w:val="0"/>
          <w:sz w:val="24"/>
          <w:szCs w:val="24"/>
        </w:rPr>
        <w:t>2</w:t>
      </w:r>
      <w:r>
        <w:rPr>
          <w:rFonts w:ascii="仿宋" w:hAnsi="仿宋" w:eastAsia="仿宋" w:cstheme="majorEastAsia"/>
          <w:kern w:val="0"/>
          <w:sz w:val="24"/>
          <w:szCs w:val="24"/>
        </w:rPr>
        <w:t>02</w:t>
      </w:r>
      <w:r>
        <w:rPr>
          <w:rFonts w:hint="eastAsia" w:ascii="仿宋" w:hAnsi="仿宋" w:eastAsia="仿宋" w:cstheme="majorEastAsia"/>
          <w:kern w:val="0"/>
          <w:sz w:val="24"/>
          <w:szCs w:val="24"/>
          <w:lang w:val="en-US" w:eastAsia="zh-CN"/>
        </w:rPr>
        <w:t>6</w:t>
      </w:r>
      <w:r>
        <w:rPr>
          <w:rFonts w:hint="eastAsia" w:ascii="仿宋" w:hAnsi="仿宋" w:eastAsia="仿宋" w:cstheme="majorEastAsia"/>
          <w:kern w:val="0"/>
          <w:sz w:val="24"/>
          <w:szCs w:val="24"/>
        </w:rPr>
        <w:t>年9月</w:t>
      </w:r>
      <w:r>
        <w:rPr>
          <w:rFonts w:ascii="仿宋" w:hAnsi="仿宋" w:eastAsia="仿宋" w:cstheme="majorEastAsia"/>
          <w:kern w:val="0"/>
          <w:sz w:val="24"/>
          <w:szCs w:val="24"/>
        </w:rPr>
        <w:t>之后拟继续享受</w:t>
      </w:r>
      <w:r>
        <w:rPr>
          <w:rFonts w:hint="eastAsia" w:ascii="仿宋" w:hAnsi="仿宋" w:eastAsia="仿宋" w:cstheme="majorEastAsia"/>
          <w:kern w:val="0"/>
          <w:sz w:val="24"/>
          <w:szCs w:val="24"/>
          <w:lang w:eastAsia="zh-CN"/>
        </w:rPr>
        <w:t>北京来华留学生政府奖学金</w:t>
      </w:r>
      <w:r>
        <w:rPr>
          <w:rFonts w:ascii="仿宋" w:hAnsi="仿宋" w:eastAsia="仿宋" w:cstheme="majorEastAsia"/>
          <w:kern w:val="0"/>
          <w:sz w:val="24"/>
          <w:szCs w:val="24"/>
        </w:rPr>
        <w:t>的学生</w:t>
      </w:r>
      <w:r>
        <w:rPr>
          <w:rFonts w:hint="eastAsia" w:ascii="仿宋" w:hAnsi="仿宋" w:eastAsia="仿宋" w:cstheme="majorEastAsia"/>
          <w:b/>
          <w:bCs/>
          <w:color w:val="0000FF"/>
          <w:kern w:val="0"/>
          <w:sz w:val="24"/>
          <w:szCs w:val="24"/>
          <w:highlight w:val="none"/>
          <w:lang w:eastAsia="zh-CN"/>
        </w:rPr>
        <w:t>（</w:t>
      </w:r>
      <w:r>
        <w:rPr>
          <w:rFonts w:hint="eastAsia" w:ascii="仿宋" w:hAnsi="仿宋" w:eastAsia="仿宋" w:cstheme="majorEastAsia"/>
          <w:b/>
          <w:bCs/>
          <w:color w:val="0000FF"/>
          <w:kern w:val="0"/>
          <w:sz w:val="24"/>
          <w:szCs w:val="24"/>
          <w:highlight w:val="none"/>
          <w:lang w:val="en-US" w:eastAsia="zh-CN"/>
        </w:rPr>
        <w:t>本次评审不含2026年秋季学期</w:t>
      </w:r>
      <w:bookmarkStart w:id="0" w:name="_GoBack"/>
      <w:bookmarkEnd w:id="0"/>
      <w:r>
        <w:rPr>
          <w:rFonts w:hint="eastAsia" w:ascii="仿宋" w:hAnsi="仿宋" w:eastAsia="仿宋" w:cstheme="majorEastAsia"/>
          <w:b/>
          <w:bCs/>
          <w:color w:val="0000FF"/>
          <w:kern w:val="0"/>
          <w:sz w:val="24"/>
          <w:szCs w:val="24"/>
          <w:highlight w:val="none"/>
          <w:lang w:val="en-US" w:eastAsia="zh-CN"/>
        </w:rPr>
        <w:t>入学新生</w:t>
      </w:r>
      <w:r>
        <w:rPr>
          <w:rFonts w:hint="eastAsia" w:ascii="仿宋" w:hAnsi="仿宋" w:eastAsia="仿宋" w:cstheme="majorEastAsia"/>
          <w:b/>
          <w:bCs/>
          <w:color w:val="0000FF"/>
          <w:kern w:val="0"/>
          <w:sz w:val="24"/>
          <w:szCs w:val="24"/>
          <w:highlight w:val="none"/>
          <w:lang w:eastAsia="zh-CN"/>
        </w:rPr>
        <w:t>）</w:t>
      </w:r>
      <w:r>
        <w:rPr>
          <w:rFonts w:hint="eastAsia" w:ascii="仿宋" w:hAnsi="仿宋" w:eastAsia="仿宋" w:cstheme="majorEastAsia"/>
          <w:b/>
          <w:bCs/>
          <w:color w:val="0000FF"/>
          <w:kern w:val="0"/>
          <w:sz w:val="24"/>
          <w:szCs w:val="24"/>
          <w:highlight w:val="none"/>
        </w:rPr>
        <w:t>。</w:t>
      </w:r>
    </w:p>
    <w:p w14:paraId="4DF7866D">
      <w:pPr>
        <w:autoSpaceDE w:val="0"/>
        <w:autoSpaceDN w:val="0"/>
        <w:adjustRightInd w:val="0"/>
        <w:snapToGrid w:val="0"/>
        <w:ind w:firstLine="480" w:firstLineChars="200"/>
        <w:jc w:val="left"/>
        <w:rPr>
          <w:rFonts w:hint="eastAsia" w:ascii="仿宋" w:hAnsi="仿宋" w:eastAsia="仿宋" w:cstheme="majorEastAsia"/>
          <w:kern w:val="0"/>
          <w:sz w:val="24"/>
          <w:szCs w:val="24"/>
        </w:rPr>
      </w:pPr>
    </w:p>
    <w:p w14:paraId="2BECCF80">
      <w:pPr>
        <w:numPr>
          <w:ilvl w:val="0"/>
          <w:numId w:val="1"/>
        </w:numPr>
        <w:autoSpaceDE w:val="0"/>
        <w:autoSpaceDN w:val="0"/>
        <w:adjustRightInd w:val="0"/>
        <w:snapToGrid w:val="0"/>
        <w:jc w:val="left"/>
        <w:rPr>
          <w:rFonts w:hint="eastAsia" w:ascii="仿宋" w:hAnsi="仿宋" w:eastAsia="仿宋" w:cstheme="majorEastAsia"/>
          <w:b/>
          <w:bCs/>
          <w:sz w:val="24"/>
          <w:szCs w:val="24"/>
        </w:rPr>
      </w:pPr>
      <w:r>
        <w:rPr>
          <w:rFonts w:hint="eastAsia" w:ascii="仿宋" w:hAnsi="仿宋" w:eastAsia="仿宋" w:cstheme="majorEastAsia"/>
          <w:b/>
          <w:bCs/>
          <w:kern w:val="0"/>
          <w:sz w:val="24"/>
          <w:szCs w:val="24"/>
        </w:rPr>
        <w:t>评审时间</w:t>
      </w:r>
    </w:p>
    <w:p w14:paraId="36E13B6A">
      <w:pPr>
        <w:autoSpaceDE w:val="0"/>
        <w:autoSpaceDN w:val="0"/>
        <w:adjustRightInd w:val="0"/>
        <w:snapToGrid w:val="0"/>
        <w:ind w:firstLine="480" w:firstLineChars="200"/>
        <w:jc w:val="left"/>
        <w:rPr>
          <w:rFonts w:hint="eastAsia" w:ascii="仿宋" w:hAnsi="仿宋" w:eastAsia="仿宋" w:cstheme="majorEastAsia"/>
          <w:kern w:val="0"/>
          <w:sz w:val="24"/>
          <w:szCs w:val="24"/>
        </w:rPr>
      </w:pPr>
      <w:r>
        <w:rPr>
          <w:rFonts w:hint="eastAsia" w:ascii="仿宋" w:hAnsi="仿宋" w:eastAsia="仿宋" w:cstheme="majorEastAsia"/>
          <w:kern w:val="0"/>
          <w:sz w:val="24"/>
          <w:szCs w:val="24"/>
        </w:rPr>
        <w:t>2</w:t>
      </w:r>
      <w:r>
        <w:rPr>
          <w:rFonts w:ascii="仿宋" w:hAnsi="仿宋" w:eastAsia="仿宋" w:cstheme="majorEastAsia"/>
          <w:kern w:val="0"/>
          <w:sz w:val="24"/>
          <w:szCs w:val="24"/>
        </w:rPr>
        <w:t>02</w:t>
      </w:r>
      <w:r>
        <w:rPr>
          <w:rFonts w:hint="eastAsia" w:ascii="仿宋" w:hAnsi="仿宋" w:eastAsia="仿宋" w:cstheme="majorEastAsia"/>
          <w:kern w:val="0"/>
          <w:sz w:val="24"/>
          <w:szCs w:val="24"/>
          <w:lang w:val="en-US" w:eastAsia="zh-CN"/>
        </w:rPr>
        <w:t>6</w:t>
      </w:r>
      <w:r>
        <w:rPr>
          <w:rFonts w:hint="eastAsia" w:ascii="仿宋" w:hAnsi="仿宋" w:eastAsia="仿宋" w:cstheme="majorEastAsia"/>
          <w:kern w:val="0"/>
          <w:sz w:val="24"/>
          <w:szCs w:val="24"/>
        </w:rPr>
        <w:t>年</w:t>
      </w:r>
      <w:r>
        <w:rPr>
          <w:rFonts w:hint="eastAsia" w:ascii="仿宋" w:hAnsi="仿宋" w:eastAsia="仿宋" w:cstheme="majorEastAsia"/>
          <w:kern w:val="0"/>
          <w:sz w:val="24"/>
          <w:szCs w:val="24"/>
          <w:lang w:val="en-US" w:eastAsia="zh-CN"/>
        </w:rPr>
        <w:t>9</w:t>
      </w:r>
      <w:r>
        <w:rPr>
          <w:rFonts w:hint="eastAsia" w:ascii="仿宋" w:hAnsi="仿宋" w:eastAsia="仿宋" w:cstheme="majorEastAsia"/>
          <w:kern w:val="0"/>
          <w:sz w:val="24"/>
          <w:szCs w:val="24"/>
        </w:rPr>
        <w:t>月。</w:t>
      </w:r>
    </w:p>
    <w:p w14:paraId="79B12A25">
      <w:pPr>
        <w:autoSpaceDE w:val="0"/>
        <w:autoSpaceDN w:val="0"/>
        <w:adjustRightInd w:val="0"/>
        <w:snapToGrid w:val="0"/>
        <w:ind w:firstLine="480" w:firstLineChars="200"/>
        <w:jc w:val="left"/>
        <w:rPr>
          <w:rFonts w:hint="eastAsia" w:ascii="仿宋" w:hAnsi="仿宋" w:eastAsia="仿宋" w:cstheme="majorEastAsia"/>
          <w:kern w:val="0"/>
          <w:sz w:val="24"/>
          <w:szCs w:val="24"/>
        </w:rPr>
      </w:pPr>
    </w:p>
    <w:p w14:paraId="1CAAC913">
      <w:pPr>
        <w:numPr>
          <w:ilvl w:val="0"/>
          <w:numId w:val="1"/>
        </w:numPr>
        <w:autoSpaceDE w:val="0"/>
        <w:autoSpaceDN w:val="0"/>
        <w:adjustRightInd w:val="0"/>
        <w:snapToGrid w:val="0"/>
        <w:jc w:val="left"/>
        <w:rPr>
          <w:rFonts w:hint="eastAsia" w:ascii="仿宋" w:hAnsi="仿宋" w:eastAsia="仿宋" w:cstheme="majorEastAsia"/>
          <w:b/>
          <w:bCs/>
          <w:sz w:val="24"/>
          <w:szCs w:val="24"/>
        </w:rPr>
      </w:pPr>
      <w:r>
        <w:rPr>
          <w:rFonts w:hint="eastAsia" w:ascii="仿宋" w:hAnsi="仿宋" w:eastAsia="仿宋" w:cstheme="majorEastAsia"/>
          <w:b/>
          <w:bCs/>
          <w:sz w:val="24"/>
          <w:szCs w:val="24"/>
        </w:rPr>
        <w:t>评审要求</w:t>
      </w:r>
    </w:p>
    <w:p w14:paraId="5EF0ACA7">
      <w:pPr>
        <w:numPr>
          <w:ilvl w:val="0"/>
          <w:numId w:val="2"/>
        </w:numPr>
        <w:autoSpaceDE w:val="0"/>
        <w:autoSpaceDN w:val="0"/>
        <w:adjustRightInd w:val="0"/>
        <w:snapToGrid w:val="0"/>
        <w:jc w:val="left"/>
        <w:rPr>
          <w:rFonts w:hint="eastAsia" w:ascii="仿宋" w:hAnsi="仿宋" w:eastAsia="仿宋" w:cstheme="majorEastAsia"/>
          <w:sz w:val="24"/>
          <w:szCs w:val="24"/>
        </w:rPr>
      </w:pPr>
      <w:r>
        <w:rPr>
          <w:rFonts w:hint="eastAsia" w:ascii="仿宋" w:hAnsi="仿宋" w:eastAsia="仿宋" w:cstheme="majorEastAsia"/>
          <w:color w:val="000000"/>
          <w:kern w:val="0"/>
          <w:sz w:val="24"/>
          <w:szCs w:val="24"/>
          <w:lang w:bidi="ar"/>
        </w:rPr>
        <w:t>满足下列所有条件者，奖学金评审意见为“合格”，可继续享受</w:t>
      </w:r>
      <w:r>
        <w:rPr>
          <w:rFonts w:hint="eastAsia" w:ascii="仿宋" w:hAnsi="仿宋" w:eastAsia="仿宋" w:cstheme="majorEastAsia"/>
          <w:color w:val="000000"/>
          <w:kern w:val="0"/>
          <w:sz w:val="24"/>
          <w:szCs w:val="24"/>
          <w:lang w:eastAsia="zh-CN" w:bidi="ar"/>
        </w:rPr>
        <w:t>北京来华留学生政府奖学金</w:t>
      </w:r>
      <w:r>
        <w:rPr>
          <w:rFonts w:hint="eastAsia" w:ascii="仿宋" w:hAnsi="仿宋" w:eastAsia="仿宋" w:cstheme="majorEastAsia"/>
          <w:color w:val="000000"/>
          <w:kern w:val="0"/>
          <w:sz w:val="24"/>
          <w:szCs w:val="24"/>
          <w:lang w:bidi="ar"/>
        </w:rPr>
        <w:t>资格一年：</w:t>
      </w:r>
    </w:p>
    <w:p w14:paraId="521C58D6">
      <w:pPr>
        <w:autoSpaceDE w:val="0"/>
        <w:autoSpaceDN w:val="0"/>
        <w:adjustRightInd w:val="0"/>
        <w:snapToGrid w:val="0"/>
        <w:jc w:val="left"/>
        <w:rPr>
          <w:rFonts w:hint="eastAsia" w:ascii="仿宋" w:hAnsi="仿宋" w:eastAsia="仿宋" w:cstheme="majorEastAsia"/>
          <w:sz w:val="24"/>
          <w:szCs w:val="24"/>
        </w:rPr>
      </w:pPr>
      <w:r>
        <w:rPr>
          <w:rFonts w:hint="eastAsia" w:ascii="仿宋" w:hAnsi="仿宋" w:eastAsia="仿宋" w:cstheme="majorEastAsia"/>
          <w:color w:val="000000"/>
          <w:kern w:val="0"/>
          <w:sz w:val="24"/>
          <w:szCs w:val="24"/>
          <w:lang w:bidi="ar"/>
        </w:rPr>
        <w:t>（1）达到所在学院及培养单位国际学生阶段性培养标准的；</w:t>
      </w:r>
    </w:p>
    <w:p w14:paraId="2488DF3D">
      <w:pPr>
        <w:autoSpaceDE w:val="0"/>
        <w:autoSpaceDN w:val="0"/>
        <w:adjustRightInd w:val="0"/>
        <w:snapToGrid w:val="0"/>
        <w:jc w:val="left"/>
        <w:rPr>
          <w:rFonts w:hint="eastAsia" w:ascii="仿宋" w:hAnsi="仿宋" w:eastAsia="仿宋" w:cstheme="majorEastAsia"/>
          <w:sz w:val="24"/>
          <w:szCs w:val="24"/>
        </w:rPr>
      </w:pPr>
      <w:r>
        <w:rPr>
          <w:rFonts w:hint="eastAsia" w:ascii="仿宋" w:hAnsi="仿宋" w:eastAsia="仿宋" w:cstheme="majorEastAsia"/>
          <w:color w:val="000000"/>
          <w:kern w:val="0"/>
          <w:sz w:val="24"/>
          <w:szCs w:val="24"/>
          <w:lang w:bidi="ar"/>
        </w:rPr>
        <w:t xml:space="preserve">（2）达到所在学院及培养单位规定的出勤率的； </w:t>
      </w:r>
    </w:p>
    <w:p w14:paraId="31E8E44E">
      <w:pPr>
        <w:autoSpaceDE w:val="0"/>
        <w:autoSpaceDN w:val="0"/>
        <w:adjustRightInd w:val="0"/>
        <w:snapToGrid w:val="0"/>
        <w:jc w:val="left"/>
        <w:rPr>
          <w:rFonts w:hint="eastAsia" w:ascii="仿宋" w:hAnsi="仿宋" w:eastAsia="仿宋" w:cstheme="majorEastAsia"/>
          <w:sz w:val="24"/>
          <w:szCs w:val="24"/>
        </w:rPr>
      </w:pPr>
      <w:r>
        <w:rPr>
          <w:rFonts w:hint="eastAsia" w:ascii="仿宋" w:hAnsi="仿宋" w:eastAsia="仿宋" w:cstheme="majorEastAsia"/>
          <w:color w:val="000000"/>
          <w:kern w:val="0"/>
          <w:sz w:val="24"/>
          <w:szCs w:val="24"/>
          <w:lang w:bidi="ar"/>
        </w:rPr>
        <w:t>（3）学习态度良好、思想品行端正，无不良表现的；</w:t>
      </w:r>
    </w:p>
    <w:p w14:paraId="4E8B4034">
      <w:pPr>
        <w:autoSpaceDE w:val="0"/>
        <w:autoSpaceDN w:val="0"/>
        <w:adjustRightInd w:val="0"/>
        <w:snapToGrid w:val="0"/>
        <w:jc w:val="left"/>
        <w:rPr>
          <w:rFonts w:hint="eastAsia" w:ascii="仿宋" w:hAnsi="仿宋" w:eastAsia="仿宋" w:cstheme="majorEastAsia"/>
          <w:sz w:val="24"/>
          <w:szCs w:val="24"/>
        </w:rPr>
      </w:pPr>
      <w:r>
        <w:rPr>
          <w:rFonts w:hint="eastAsia" w:ascii="仿宋" w:hAnsi="仿宋" w:eastAsia="仿宋" w:cstheme="majorEastAsia"/>
          <w:color w:val="000000"/>
          <w:kern w:val="0"/>
          <w:sz w:val="24"/>
          <w:szCs w:val="24"/>
          <w:lang w:bidi="ar"/>
        </w:rPr>
        <w:t xml:space="preserve">（4）无违法违纪、违反校规校纪、违反住宿规定行为的； </w:t>
      </w:r>
    </w:p>
    <w:p w14:paraId="4F2AE9C0">
      <w:pPr>
        <w:autoSpaceDE w:val="0"/>
        <w:autoSpaceDN w:val="0"/>
        <w:adjustRightInd w:val="0"/>
        <w:snapToGrid w:val="0"/>
        <w:jc w:val="left"/>
        <w:rPr>
          <w:rFonts w:hint="eastAsia" w:ascii="仿宋" w:hAnsi="仿宋" w:eastAsia="仿宋" w:cstheme="majorEastAsia"/>
          <w:color w:val="000000"/>
          <w:kern w:val="0"/>
          <w:sz w:val="24"/>
          <w:szCs w:val="24"/>
          <w:lang w:bidi="ar"/>
        </w:rPr>
      </w:pPr>
      <w:r>
        <w:rPr>
          <w:rFonts w:hint="eastAsia" w:ascii="仿宋" w:hAnsi="仿宋" w:eastAsia="仿宋" w:cstheme="majorEastAsia"/>
          <w:color w:val="000000"/>
          <w:kern w:val="0"/>
          <w:sz w:val="24"/>
          <w:szCs w:val="24"/>
          <w:lang w:bidi="ar"/>
        </w:rPr>
        <w:t>（5）积极参加学校/学院组织的各类活动、文体竞赛、志愿服务、学术交流等。</w:t>
      </w:r>
    </w:p>
    <w:p w14:paraId="3C5642F1">
      <w:pPr>
        <w:autoSpaceDE w:val="0"/>
        <w:autoSpaceDN w:val="0"/>
        <w:adjustRightInd w:val="0"/>
        <w:snapToGrid w:val="0"/>
        <w:jc w:val="left"/>
        <w:rPr>
          <w:rFonts w:hint="eastAsia" w:ascii="仿宋" w:hAnsi="仿宋" w:eastAsia="仿宋" w:cstheme="majorEastAsia"/>
          <w:sz w:val="24"/>
          <w:szCs w:val="24"/>
        </w:rPr>
      </w:pPr>
    </w:p>
    <w:p w14:paraId="5452E95F">
      <w:pPr>
        <w:numPr>
          <w:ilvl w:val="0"/>
          <w:numId w:val="3"/>
        </w:numPr>
        <w:rPr>
          <w:rFonts w:hint="eastAsia" w:ascii="仿宋" w:hAnsi="仿宋" w:eastAsia="仿宋" w:cstheme="majorEastAsia"/>
          <w:sz w:val="24"/>
          <w:szCs w:val="24"/>
        </w:rPr>
      </w:pPr>
      <w:r>
        <w:rPr>
          <w:rFonts w:hint="eastAsia" w:ascii="仿宋" w:hAnsi="仿宋" w:eastAsia="仿宋" w:cstheme="majorEastAsia"/>
          <w:sz w:val="24"/>
          <w:szCs w:val="24"/>
        </w:rPr>
        <w:t>有下列情况之一者，中止其享受</w:t>
      </w:r>
      <w:r>
        <w:rPr>
          <w:rFonts w:hint="eastAsia" w:ascii="仿宋" w:hAnsi="仿宋" w:eastAsia="仿宋" w:cstheme="majorEastAsia"/>
          <w:sz w:val="24"/>
          <w:szCs w:val="24"/>
          <w:lang w:eastAsia="zh-CN"/>
        </w:rPr>
        <w:t>北京来华留学生政府奖学金</w:t>
      </w:r>
      <w:r>
        <w:rPr>
          <w:rFonts w:hint="eastAsia" w:ascii="仿宋" w:hAnsi="仿宋" w:eastAsia="仿宋" w:cstheme="majorEastAsia"/>
          <w:sz w:val="24"/>
          <w:szCs w:val="24"/>
        </w:rPr>
        <w:t>资格：</w:t>
      </w:r>
    </w:p>
    <w:p w14:paraId="0BCFC8D7">
      <w:pPr>
        <w:rPr>
          <w:rFonts w:hint="eastAsia" w:ascii="仿宋" w:hAnsi="仿宋" w:eastAsia="仿宋" w:cstheme="majorEastAsia"/>
          <w:sz w:val="24"/>
          <w:szCs w:val="24"/>
        </w:rPr>
      </w:pPr>
      <w:r>
        <w:rPr>
          <w:rFonts w:hint="eastAsia" w:ascii="仿宋" w:hAnsi="仿宋" w:eastAsia="仿宋" w:cstheme="majorEastAsia"/>
          <w:sz w:val="24"/>
          <w:szCs w:val="24"/>
        </w:rPr>
        <w:t>（1）因上学年考核成绩不及格留级或者降级的；</w:t>
      </w:r>
    </w:p>
    <w:p w14:paraId="3D58A617">
      <w:pPr>
        <w:rPr>
          <w:rFonts w:hint="eastAsia" w:ascii="仿宋" w:hAnsi="仿宋" w:eastAsia="仿宋" w:cstheme="majorEastAsia"/>
          <w:sz w:val="24"/>
          <w:szCs w:val="24"/>
        </w:rPr>
      </w:pPr>
      <w:r>
        <w:rPr>
          <w:rFonts w:hint="eastAsia" w:ascii="仿宋" w:hAnsi="仿宋" w:eastAsia="仿宋" w:cstheme="majorEastAsia"/>
          <w:sz w:val="24"/>
          <w:szCs w:val="24"/>
        </w:rPr>
        <w:t>（2）所修课程连续两年未达到规定学分的；</w:t>
      </w:r>
    </w:p>
    <w:p w14:paraId="0CE88CDC">
      <w:pPr>
        <w:rPr>
          <w:rFonts w:hint="eastAsia" w:ascii="仿宋" w:hAnsi="仿宋" w:eastAsia="仿宋" w:cstheme="majorEastAsia"/>
          <w:sz w:val="24"/>
          <w:szCs w:val="24"/>
        </w:rPr>
      </w:pPr>
      <w:r>
        <w:rPr>
          <w:rFonts w:hint="eastAsia" w:ascii="仿宋" w:hAnsi="仿宋" w:eastAsia="仿宋" w:cstheme="majorEastAsia"/>
          <w:sz w:val="24"/>
          <w:szCs w:val="24"/>
        </w:rPr>
        <w:t>（3）受到留校察看处分的学生。</w:t>
      </w:r>
    </w:p>
    <w:p w14:paraId="507098DB">
      <w:pPr>
        <w:ind w:firstLine="480" w:firstLineChars="200"/>
        <w:rPr>
          <w:rFonts w:hint="eastAsia" w:ascii="仿宋" w:hAnsi="仿宋" w:eastAsia="仿宋" w:cstheme="majorEastAsia"/>
          <w:color w:val="000000"/>
          <w:sz w:val="24"/>
          <w:szCs w:val="24"/>
        </w:rPr>
      </w:pPr>
      <w:r>
        <w:rPr>
          <w:rFonts w:hint="eastAsia" w:ascii="仿宋" w:hAnsi="仿宋" w:eastAsia="仿宋" w:cstheme="majorEastAsia"/>
          <w:color w:val="000000"/>
          <w:sz w:val="24"/>
          <w:szCs w:val="24"/>
        </w:rPr>
        <w:t>年度评审未通过者，其享受奖学金资格自下一学年度起中止。中止期为一年。中止奖学金者，可继续以自费方式留校学习。如当年</w:t>
      </w:r>
      <w:r>
        <w:rPr>
          <w:rFonts w:ascii="仿宋" w:hAnsi="仿宋" w:eastAsia="仿宋" w:cstheme="majorEastAsia"/>
          <w:color w:val="000000"/>
          <w:sz w:val="24"/>
          <w:szCs w:val="24"/>
        </w:rPr>
        <w:t>的</w:t>
      </w:r>
      <w:r>
        <w:rPr>
          <w:rFonts w:hint="eastAsia" w:ascii="仿宋" w:hAnsi="仿宋" w:eastAsia="仿宋" w:cstheme="majorEastAsia"/>
          <w:color w:val="000000"/>
          <w:sz w:val="24"/>
          <w:szCs w:val="24"/>
        </w:rPr>
        <w:t>奖学金评审合格，经批准后，可以自下一学年起恢复享受奖学金。</w:t>
      </w:r>
    </w:p>
    <w:p w14:paraId="0AA4E799">
      <w:pPr>
        <w:ind w:firstLine="480" w:firstLineChars="200"/>
        <w:rPr>
          <w:rFonts w:hint="eastAsia" w:ascii="仿宋" w:hAnsi="仿宋" w:eastAsia="仿宋" w:cstheme="majorEastAsia"/>
          <w:sz w:val="24"/>
          <w:szCs w:val="24"/>
        </w:rPr>
      </w:pPr>
    </w:p>
    <w:p w14:paraId="73558A7B">
      <w:pPr>
        <w:numPr>
          <w:ilvl w:val="0"/>
          <w:numId w:val="3"/>
        </w:numPr>
        <w:autoSpaceDE w:val="0"/>
        <w:autoSpaceDN w:val="0"/>
        <w:adjustRightInd w:val="0"/>
        <w:snapToGrid w:val="0"/>
        <w:jc w:val="left"/>
        <w:rPr>
          <w:rFonts w:hint="eastAsia" w:ascii="仿宋" w:hAnsi="仿宋" w:eastAsia="仿宋" w:cstheme="majorEastAsia"/>
          <w:color w:val="000000"/>
          <w:sz w:val="24"/>
          <w:szCs w:val="24"/>
        </w:rPr>
      </w:pPr>
      <w:r>
        <w:rPr>
          <w:rFonts w:hint="eastAsia" w:ascii="仿宋" w:hAnsi="仿宋" w:eastAsia="仿宋" w:cstheme="majorEastAsia"/>
          <w:color w:val="000000"/>
          <w:sz w:val="24"/>
          <w:szCs w:val="24"/>
        </w:rPr>
        <w:t>有下列情形之一者，将被取消享受奖学金资格：</w:t>
      </w:r>
    </w:p>
    <w:p w14:paraId="33AE8FD7">
      <w:pPr>
        <w:rPr>
          <w:rFonts w:hint="eastAsia" w:ascii="仿宋" w:hAnsi="仿宋" w:eastAsia="仿宋" w:cstheme="majorEastAsia"/>
          <w:sz w:val="24"/>
          <w:szCs w:val="24"/>
        </w:rPr>
      </w:pPr>
      <w:r>
        <w:rPr>
          <w:rFonts w:hint="eastAsia" w:ascii="仿宋" w:hAnsi="仿宋" w:eastAsia="仿宋" w:cstheme="majorEastAsia"/>
          <w:sz w:val="24"/>
          <w:szCs w:val="24"/>
        </w:rPr>
        <w:t>（1）被学校给予勒令退学或开除学籍处分；</w:t>
      </w:r>
    </w:p>
    <w:p w14:paraId="4AD0E806">
      <w:pPr>
        <w:rPr>
          <w:rFonts w:hint="eastAsia" w:ascii="仿宋" w:hAnsi="仿宋" w:eastAsia="仿宋" w:cstheme="majorEastAsia"/>
          <w:sz w:val="24"/>
          <w:szCs w:val="24"/>
        </w:rPr>
      </w:pPr>
      <w:r>
        <w:rPr>
          <w:rFonts w:hint="eastAsia" w:ascii="仿宋" w:hAnsi="仿宋" w:eastAsia="仿宋" w:cstheme="majorEastAsia"/>
          <w:sz w:val="24"/>
          <w:szCs w:val="24"/>
        </w:rPr>
        <w:t>（2）无正当理由不参加奖学金年度评审。</w:t>
      </w:r>
    </w:p>
    <w:p w14:paraId="4B61FB81">
      <w:pPr>
        <w:rPr>
          <w:rFonts w:hint="eastAsia" w:ascii="仿宋" w:hAnsi="仿宋" w:eastAsia="仿宋" w:cstheme="majorEastAsia"/>
          <w:sz w:val="24"/>
          <w:szCs w:val="24"/>
        </w:rPr>
      </w:pPr>
    </w:p>
    <w:p w14:paraId="08FA6F17">
      <w:pPr>
        <w:rPr>
          <w:rFonts w:hint="eastAsia" w:ascii="仿宋" w:hAnsi="仿宋" w:eastAsia="仿宋" w:cstheme="majorEastAsia"/>
          <w:sz w:val="24"/>
          <w:szCs w:val="24"/>
        </w:rPr>
      </w:pPr>
      <w:r>
        <w:rPr>
          <w:rFonts w:ascii="仿宋" w:hAnsi="仿宋" w:eastAsia="仿宋" w:cstheme="majorEastAsia"/>
          <w:color w:val="000000"/>
          <w:sz w:val="24"/>
          <w:szCs w:val="24"/>
          <w:lang w:bidi="ar"/>
        </w:rPr>
        <w:t>4.</w:t>
      </w:r>
      <w:r>
        <w:rPr>
          <w:rFonts w:hint="eastAsia" w:ascii="仿宋" w:hAnsi="仿宋" w:eastAsia="仿宋" w:cstheme="majorEastAsia"/>
          <w:color w:val="000000"/>
          <w:sz w:val="24"/>
          <w:szCs w:val="24"/>
          <w:lang w:bidi="ar"/>
        </w:rPr>
        <w:t>奖学金生年度最终评审以学校批复意见为准</w:t>
      </w:r>
    </w:p>
    <w:p w14:paraId="0A847610">
      <w:pPr>
        <w:widowControl/>
        <w:ind w:firstLine="480" w:firstLineChars="200"/>
        <w:jc w:val="left"/>
        <w:rPr>
          <w:rFonts w:hint="eastAsia" w:ascii="仿宋" w:hAnsi="仿宋" w:eastAsia="仿宋" w:cstheme="majorEastAsia"/>
          <w:color w:val="000000"/>
          <w:kern w:val="0"/>
          <w:sz w:val="24"/>
          <w:szCs w:val="24"/>
          <w:lang w:bidi="ar"/>
        </w:rPr>
      </w:pPr>
      <w:r>
        <w:rPr>
          <w:rFonts w:hint="eastAsia" w:ascii="仿宋" w:hAnsi="仿宋" w:eastAsia="仿宋" w:cstheme="majorEastAsia"/>
          <w:color w:val="000000"/>
          <w:kern w:val="0"/>
          <w:sz w:val="24"/>
          <w:szCs w:val="24"/>
          <w:lang w:bidi="ar"/>
        </w:rPr>
        <w:t>学校将根据学院的评审意见和建议，决定是否继续向奖学金生提供</w:t>
      </w:r>
      <w:r>
        <w:rPr>
          <w:rFonts w:hint="eastAsia" w:ascii="仿宋" w:hAnsi="仿宋" w:eastAsia="仿宋" w:cstheme="majorEastAsia"/>
          <w:color w:val="000000"/>
          <w:kern w:val="0"/>
          <w:sz w:val="24"/>
          <w:szCs w:val="24"/>
          <w:lang w:eastAsia="zh-CN" w:bidi="ar"/>
        </w:rPr>
        <w:t>北京来华留学生政府奖学金</w:t>
      </w:r>
      <w:r>
        <w:rPr>
          <w:rFonts w:hint="eastAsia" w:ascii="仿宋" w:hAnsi="仿宋" w:eastAsia="仿宋" w:cstheme="majorEastAsia"/>
          <w:color w:val="000000"/>
          <w:kern w:val="0"/>
          <w:sz w:val="24"/>
          <w:szCs w:val="24"/>
          <w:lang w:bidi="ar"/>
        </w:rPr>
        <w:t>，或者中止其继续享受</w:t>
      </w:r>
      <w:r>
        <w:rPr>
          <w:rFonts w:hint="eastAsia" w:ascii="仿宋" w:hAnsi="仿宋" w:eastAsia="仿宋" w:cstheme="majorEastAsia"/>
          <w:color w:val="000000"/>
          <w:kern w:val="0"/>
          <w:sz w:val="24"/>
          <w:szCs w:val="24"/>
          <w:lang w:eastAsia="zh-CN" w:bidi="ar"/>
        </w:rPr>
        <w:t>北京来华留学生政府奖学金</w:t>
      </w:r>
      <w:r>
        <w:rPr>
          <w:rFonts w:hint="eastAsia" w:ascii="仿宋" w:hAnsi="仿宋" w:eastAsia="仿宋" w:cstheme="majorEastAsia"/>
          <w:color w:val="000000"/>
          <w:kern w:val="0"/>
          <w:sz w:val="24"/>
          <w:szCs w:val="24"/>
          <w:lang w:bidi="ar"/>
        </w:rPr>
        <w:t>资格。</w:t>
      </w:r>
    </w:p>
    <w:p w14:paraId="16B1F9D7">
      <w:pPr>
        <w:widowControl/>
        <w:jc w:val="left"/>
        <w:rPr>
          <w:rFonts w:hint="eastAsia" w:ascii="仿宋" w:hAnsi="仿宋" w:eastAsia="仿宋" w:cstheme="majorEastAsia"/>
          <w:color w:val="000000"/>
          <w:kern w:val="0"/>
          <w:sz w:val="24"/>
          <w:szCs w:val="24"/>
          <w:lang w:bidi="ar"/>
        </w:rPr>
      </w:pPr>
    </w:p>
    <w:p w14:paraId="44CA5F28">
      <w:pPr>
        <w:widowControl/>
        <w:jc w:val="left"/>
        <w:rPr>
          <w:rFonts w:hint="eastAsia" w:ascii="仿宋" w:hAnsi="仿宋" w:eastAsia="仿宋" w:cstheme="majorEastAsia"/>
          <w:color w:val="000000"/>
          <w:kern w:val="0"/>
          <w:sz w:val="24"/>
          <w:szCs w:val="24"/>
          <w:lang w:bidi="ar"/>
        </w:rPr>
      </w:pPr>
      <w:r>
        <w:rPr>
          <w:rFonts w:hint="eastAsia" w:ascii="仿宋" w:hAnsi="仿宋" w:eastAsia="仿宋" w:cstheme="majorEastAsia"/>
          <w:color w:val="000000"/>
          <w:kern w:val="0"/>
          <w:sz w:val="24"/>
          <w:szCs w:val="24"/>
          <w:lang w:bidi="ar"/>
        </w:rPr>
        <w:t>5.特殊情况</w:t>
      </w:r>
    </w:p>
    <w:p w14:paraId="22B16843">
      <w:pPr>
        <w:widowControl/>
        <w:ind w:firstLine="480" w:firstLineChars="200"/>
        <w:jc w:val="left"/>
        <w:rPr>
          <w:rFonts w:hint="eastAsia" w:ascii="仿宋" w:hAnsi="仿宋" w:eastAsia="仿宋" w:cstheme="majorEastAsia"/>
          <w:color w:val="000000"/>
          <w:kern w:val="0"/>
          <w:sz w:val="24"/>
          <w:szCs w:val="24"/>
          <w:lang w:bidi="ar"/>
        </w:rPr>
      </w:pPr>
      <w:r>
        <w:rPr>
          <w:rFonts w:hint="eastAsia" w:ascii="仿宋" w:hAnsi="仿宋" w:eastAsia="仿宋" w:cstheme="majorEastAsia"/>
          <w:color w:val="000000"/>
          <w:kern w:val="0"/>
          <w:sz w:val="24"/>
          <w:szCs w:val="24"/>
          <w:lang w:bidi="ar"/>
        </w:rPr>
        <w:t>评审</w:t>
      </w:r>
      <w:r>
        <w:rPr>
          <w:rFonts w:ascii="仿宋" w:hAnsi="仿宋" w:eastAsia="仿宋" w:cstheme="majorEastAsia"/>
          <w:color w:val="000000"/>
          <w:kern w:val="0"/>
          <w:sz w:val="24"/>
          <w:szCs w:val="24"/>
          <w:lang w:bidi="ar"/>
        </w:rPr>
        <w:t>期间处于</w:t>
      </w:r>
      <w:r>
        <w:rPr>
          <w:rFonts w:hint="eastAsia" w:ascii="仿宋" w:hAnsi="仿宋" w:eastAsia="仿宋" w:cstheme="majorEastAsia"/>
          <w:color w:val="000000"/>
          <w:kern w:val="0"/>
          <w:sz w:val="24"/>
          <w:szCs w:val="24"/>
          <w:lang w:bidi="ar"/>
        </w:rPr>
        <w:t>休学状态</w:t>
      </w:r>
      <w:r>
        <w:rPr>
          <w:rFonts w:ascii="仿宋" w:hAnsi="仿宋" w:eastAsia="仿宋" w:cstheme="majorEastAsia"/>
          <w:color w:val="000000"/>
          <w:kern w:val="0"/>
          <w:sz w:val="24"/>
          <w:szCs w:val="24"/>
          <w:lang w:bidi="ar"/>
        </w:rPr>
        <w:t>的学生，</w:t>
      </w:r>
      <w:r>
        <w:rPr>
          <w:rFonts w:hint="eastAsia" w:ascii="仿宋" w:hAnsi="仿宋" w:eastAsia="仿宋" w:cstheme="majorEastAsia"/>
          <w:color w:val="000000"/>
          <w:kern w:val="0"/>
          <w:sz w:val="24"/>
          <w:szCs w:val="24"/>
          <w:lang w:bidi="ar"/>
        </w:rPr>
        <w:t>学校</w:t>
      </w:r>
      <w:r>
        <w:rPr>
          <w:rFonts w:ascii="仿宋" w:hAnsi="仿宋" w:eastAsia="仿宋" w:cstheme="majorEastAsia"/>
          <w:color w:val="000000"/>
          <w:kern w:val="0"/>
          <w:sz w:val="24"/>
          <w:szCs w:val="24"/>
          <w:lang w:bidi="ar"/>
        </w:rPr>
        <w:t>将为其</w:t>
      </w:r>
      <w:r>
        <w:rPr>
          <w:rFonts w:hint="eastAsia" w:ascii="仿宋" w:hAnsi="仿宋" w:eastAsia="仿宋" w:cstheme="majorEastAsia"/>
          <w:color w:val="000000"/>
          <w:kern w:val="0"/>
          <w:sz w:val="24"/>
          <w:szCs w:val="24"/>
          <w:lang w:bidi="ar"/>
        </w:rPr>
        <w:t>保留</w:t>
      </w:r>
      <w:r>
        <w:rPr>
          <w:rFonts w:ascii="仿宋" w:hAnsi="仿宋" w:eastAsia="仿宋" w:cstheme="majorEastAsia"/>
          <w:color w:val="000000"/>
          <w:kern w:val="0"/>
          <w:sz w:val="24"/>
          <w:szCs w:val="24"/>
          <w:lang w:bidi="ar"/>
        </w:rPr>
        <w:t>下一学年奖学金资格。待</w:t>
      </w:r>
      <w:r>
        <w:rPr>
          <w:rFonts w:hint="eastAsia" w:ascii="仿宋" w:hAnsi="仿宋" w:eastAsia="仿宋" w:cstheme="majorEastAsia"/>
          <w:color w:val="000000"/>
          <w:kern w:val="0"/>
          <w:sz w:val="24"/>
          <w:szCs w:val="24"/>
          <w:lang w:bidi="ar"/>
        </w:rPr>
        <w:t>学生</w:t>
      </w:r>
      <w:r>
        <w:rPr>
          <w:rFonts w:ascii="仿宋" w:hAnsi="仿宋" w:eastAsia="仿宋" w:cstheme="majorEastAsia"/>
          <w:color w:val="000000"/>
          <w:kern w:val="0"/>
          <w:sz w:val="24"/>
          <w:szCs w:val="24"/>
          <w:lang w:bidi="ar"/>
        </w:rPr>
        <w:t>在</w:t>
      </w:r>
      <w:r>
        <w:rPr>
          <w:rFonts w:hint="eastAsia" w:ascii="仿宋" w:hAnsi="仿宋" w:eastAsia="仿宋" w:cstheme="majorEastAsia"/>
          <w:color w:val="000000"/>
          <w:kern w:val="0"/>
          <w:sz w:val="24"/>
          <w:szCs w:val="24"/>
          <w:lang w:bidi="ar"/>
        </w:rPr>
        <w:t>202</w:t>
      </w:r>
      <w:r>
        <w:rPr>
          <w:rFonts w:hint="eastAsia" w:ascii="仿宋" w:hAnsi="仿宋" w:eastAsia="仿宋" w:cstheme="majorEastAsia"/>
          <w:color w:val="000000"/>
          <w:kern w:val="0"/>
          <w:sz w:val="24"/>
          <w:szCs w:val="24"/>
          <w:lang w:val="en-US" w:eastAsia="zh-CN" w:bidi="ar"/>
        </w:rPr>
        <w:t>6</w:t>
      </w:r>
      <w:r>
        <w:rPr>
          <w:rFonts w:hint="eastAsia" w:ascii="仿宋" w:hAnsi="仿宋" w:eastAsia="仿宋" w:cstheme="majorEastAsia"/>
          <w:color w:val="000000"/>
          <w:kern w:val="0"/>
          <w:sz w:val="24"/>
          <w:szCs w:val="24"/>
          <w:lang w:bidi="ar"/>
        </w:rPr>
        <w:t>年秋季学期</w:t>
      </w:r>
      <w:r>
        <w:rPr>
          <w:rFonts w:ascii="仿宋" w:hAnsi="仿宋" w:eastAsia="仿宋" w:cstheme="majorEastAsia"/>
          <w:color w:val="000000"/>
          <w:kern w:val="0"/>
          <w:sz w:val="24"/>
          <w:szCs w:val="24"/>
          <w:lang w:bidi="ar"/>
        </w:rPr>
        <w:t>规</w:t>
      </w:r>
      <w:r>
        <w:rPr>
          <w:rFonts w:hint="eastAsia" w:ascii="仿宋" w:hAnsi="仿宋" w:eastAsia="仿宋" w:cstheme="majorEastAsia"/>
          <w:color w:val="000000"/>
          <w:kern w:val="0"/>
          <w:sz w:val="24"/>
          <w:szCs w:val="24"/>
          <w:lang w:bidi="ar"/>
        </w:rPr>
        <w:t>定</w:t>
      </w:r>
      <w:r>
        <w:rPr>
          <w:rFonts w:ascii="仿宋" w:hAnsi="仿宋" w:eastAsia="仿宋" w:cstheme="majorEastAsia"/>
          <w:color w:val="000000"/>
          <w:kern w:val="0"/>
          <w:sz w:val="24"/>
          <w:szCs w:val="24"/>
          <w:lang w:bidi="ar"/>
        </w:rPr>
        <w:t>时间内办理完复学手续后，</w:t>
      </w:r>
      <w:r>
        <w:rPr>
          <w:rFonts w:hint="eastAsia" w:ascii="仿宋" w:hAnsi="仿宋" w:eastAsia="仿宋" w:cstheme="majorEastAsia"/>
          <w:color w:val="000000"/>
          <w:kern w:val="0"/>
          <w:sz w:val="24"/>
          <w:szCs w:val="24"/>
          <w:lang w:bidi="ar"/>
        </w:rPr>
        <w:t>学校为其</w:t>
      </w:r>
      <w:r>
        <w:rPr>
          <w:rFonts w:ascii="仿宋" w:hAnsi="仿宋" w:eastAsia="仿宋" w:cstheme="majorEastAsia"/>
          <w:color w:val="000000"/>
          <w:kern w:val="0"/>
          <w:sz w:val="24"/>
          <w:szCs w:val="24"/>
          <w:lang w:bidi="ar"/>
        </w:rPr>
        <w:t>发放奖学金。</w:t>
      </w:r>
    </w:p>
    <w:p w14:paraId="0AF986F1">
      <w:pPr>
        <w:widowControl/>
        <w:jc w:val="left"/>
        <w:rPr>
          <w:rFonts w:hint="eastAsia" w:ascii="仿宋" w:hAnsi="仿宋" w:eastAsia="仿宋" w:cstheme="majorEastAsia"/>
          <w:color w:val="000000"/>
          <w:kern w:val="0"/>
          <w:sz w:val="24"/>
          <w:szCs w:val="24"/>
          <w:lang w:bidi="ar"/>
        </w:rPr>
      </w:pPr>
    </w:p>
    <w:p w14:paraId="21BA92A9">
      <w:pPr>
        <w:widowControl/>
        <w:jc w:val="left"/>
        <w:rPr>
          <w:rFonts w:hint="eastAsia" w:ascii="仿宋" w:hAnsi="仿宋" w:eastAsia="仿宋" w:cstheme="majorEastAsia"/>
          <w:color w:val="000000"/>
          <w:kern w:val="0"/>
          <w:sz w:val="24"/>
          <w:szCs w:val="24"/>
          <w:lang w:bidi="ar"/>
        </w:rPr>
      </w:pPr>
      <w:r>
        <w:rPr>
          <w:rFonts w:hint="eastAsia" w:ascii="仿宋" w:hAnsi="仿宋" w:eastAsia="仿宋" w:cstheme="majorEastAsia"/>
          <w:color w:val="000000"/>
          <w:kern w:val="0"/>
          <w:sz w:val="24"/>
          <w:szCs w:val="24"/>
          <w:lang w:bidi="ar"/>
        </w:rPr>
        <w:t>五、评审程序和工作流程：</w:t>
      </w:r>
    </w:p>
    <w:p w14:paraId="0D991F56">
      <w:pPr>
        <w:widowControl/>
        <w:jc w:val="left"/>
        <w:rPr>
          <w:rFonts w:hint="eastAsia" w:ascii="仿宋" w:hAnsi="仿宋" w:eastAsia="仿宋" w:cstheme="majorEastAsia"/>
          <w:color w:val="000000"/>
          <w:kern w:val="0"/>
          <w:sz w:val="24"/>
          <w:szCs w:val="24"/>
          <w:lang w:bidi="ar"/>
        </w:rPr>
      </w:pPr>
      <w:r>
        <w:rPr>
          <w:rFonts w:hint="eastAsia" w:ascii="仿宋" w:hAnsi="仿宋" w:eastAsia="仿宋" w:cstheme="majorEastAsia"/>
          <w:color w:val="000000"/>
          <w:kern w:val="0"/>
          <w:sz w:val="24"/>
          <w:szCs w:val="24"/>
          <w:lang w:bidi="ar"/>
        </w:rPr>
        <w:t>1. 评审筹备阶段：</w:t>
      </w:r>
    </w:p>
    <w:p w14:paraId="4653D3B9">
      <w:pPr>
        <w:widowControl/>
        <w:ind w:firstLine="480" w:firstLineChars="200"/>
        <w:jc w:val="left"/>
        <w:rPr>
          <w:rFonts w:hint="eastAsia" w:ascii="仿宋" w:hAnsi="仿宋" w:eastAsia="仿宋" w:cstheme="majorEastAsia"/>
          <w:color w:val="000000"/>
          <w:kern w:val="0"/>
          <w:sz w:val="24"/>
          <w:szCs w:val="24"/>
          <w:lang w:bidi="ar"/>
        </w:rPr>
      </w:pPr>
      <w:r>
        <w:rPr>
          <w:rFonts w:hint="eastAsia" w:ascii="仿宋" w:hAnsi="仿宋" w:eastAsia="仿宋" w:cstheme="majorEastAsia"/>
          <w:color w:val="000000"/>
          <w:kern w:val="0"/>
          <w:sz w:val="24"/>
          <w:szCs w:val="24"/>
          <w:lang w:bidi="ar"/>
        </w:rPr>
        <w:t>学校制定《北京工商大学202</w:t>
      </w:r>
      <w:r>
        <w:rPr>
          <w:rFonts w:hint="eastAsia" w:ascii="仿宋" w:hAnsi="仿宋" w:eastAsia="仿宋" w:cstheme="majorEastAsia"/>
          <w:color w:val="000000"/>
          <w:kern w:val="0"/>
          <w:sz w:val="24"/>
          <w:szCs w:val="24"/>
          <w:lang w:val="en-US" w:eastAsia="zh-CN" w:bidi="ar"/>
        </w:rPr>
        <w:t>6</w:t>
      </w:r>
      <w:r>
        <w:rPr>
          <w:rFonts w:hint="eastAsia" w:ascii="仿宋" w:hAnsi="仿宋" w:eastAsia="仿宋" w:cstheme="majorEastAsia"/>
          <w:color w:val="000000"/>
          <w:kern w:val="0"/>
          <w:sz w:val="24"/>
          <w:szCs w:val="24"/>
          <w:lang w:bidi="ar"/>
        </w:rPr>
        <w:t>/202</w:t>
      </w:r>
      <w:r>
        <w:rPr>
          <w:rFonts w:hint="eastAsia" w:ascii="仿宋" w:hAnsi="仿宋" w:eastAsia="仿宋" w:cstheme="majorEastAsia"/>
          <w:color w:val="000000"/>
          <w:kern w:val="0"/>
          <w:sz w:val="24"/>
          <w:szCs w:val="24"/>
          <w:lang w:val="en-US" w:eastAsia="zh-CN" w:bidi="ar"/>
        </w:rPr>
        <w:t>7</w:t>
      </w:r>
      <w:r>
        <w:rPr>
          <w:rFonts w:hint="eastAsia" w:ascii="仿宋" w:hAnsi="仿宋" w:eastAsia="仿宋" w:cstheme="majorEastAsia"/>
          <w:color w:val="000000"/>
          <w:kern w:val="0"/>
          <w:sz w:val="24"/>
          <w:szCs w:val="24"/>
          <w:lang w:bidi="ar"/>
        </w:rPr>
        <w:t>学年</w:t>
      </w:r>
      <w:r>
        <w:rPr>
          <w:rFonts w:hint="eastAsia" w:ascii="仿宋" w:hAnsi="仿宋" w:eastAsia="仿宋" w:cstheme="majorEastAsia"/>
          <w:color w:val="000000"/>
          <w:kern w:val="0"/>
          <w:sz w:val="24"/>
          <w:szCs w:val="24"/>
          <w:lang w:eastAsia="zh-CN" w:bidi="ar"/>
        </w:rPr>
        <w:t>北京来华留学生政府奖学金</w:t>
      </w:r>
      <w:r>
        <w:rPr>
          <w:rFonts w:hint="eastAsia" w:ascii="仿宋" w:hAnsi="仿宋" w:eastAsia="仿宋" w:cstheme="majorEastAsia"/>
          <w:color w:val="000000"/>
          <w:kern w:val="0"/>
          <w:sz w:val="24"/>
          <w:szCs w:val="24"/>
          <w:lang w:bidi="ar"/>
        </w:rPr>
        <w:t>年度评审工作细则》，准备评审材料，并向相关学院发布评审工作相关要求。</w:t>
      </w:r>
    </w:p>
    <w:p w14:paraId="18EE43DD">
      <w:pPr>
        <w:widowControl/>
        <w:jc w:val="left"/>
        <w:rPr>
          <w:rFonts w:hint="eastAsia" w:ascii="仿宋" w:hAnsi="仿宋" w:eastAsia="仿宋" w:cstheme="majorEastAsia"/>
          <w:color w:val="000000"/>
          <w:kern w:val="0"/>
          <w:sz w:val="24"/>
          <w:szCs w:val="24"/>
          <w:lang w:bidi="ar"/>
        </w:rPr>
      </w:pPr>
    </w:p>
    <w:p w14:paraId="07AE3F18">
      <w:pPr>
        <w:widowControl/>
        <w:jc w:val="left"/>
        <w:rPr>
          <w:rFonts w:hint="eastAsia" w:ascii="仿宋" w:hAnsi="仿宋" w:eastAsia="仿宋" w:cstheme="majorEastAsia"/>
          <w:color w:val="000000"/>
          <w:kern w:val="0"/>
          <w:sz w:val="24"/>
          <w:szCs w:val="24"/>
          <w:lang w:bidi="ar"/>
        </w:rPr>
      </w:pPr>
      <w:r>
        <w:rPr>
          <w:rFonts w:hint="eastAsia" w:ascii="仿宋" w:hAnsi="仿宋" w:eastAsia="仿宋" w:cstheme="majorEastAsia"/>
          <w:color w:val="000000"/>
          <w:kern w:val="0"/>
          <w:sz w:val="24"/>
          <w:szCs w:val="24"/>
          <w:lang w:bidi="ar"/>
        </w:rPr>
        <w:t>2. 学院评审阶段：</w:t>
      </w:r>
    </w:p>
    <w:p w14:paraId="42B72BF9">
      <w:pPr>
        <w:widowControl/>
        <w:jc w:val="left"/>
        <w:rPr>
          <w:rFonts w:hint="eastAsia" w:ascii="仿宋" w:hAnsi="仿宋" w:eastAsia="仿宋" w:cstheme="majorEastAsia"/>
          <w:color w:val="000000"/>
          <w:kern w:val="0"/>
          <w:sz w:val="24"/>
          <w:szCs w:val="24"/>
          <w:lang w:bidi="ar"/>
        </w:rPr>
      </w:pPr>
      <w:r>
        <w:rPr>
          <w:rFonts w:hint="eastAsia" w:ascii="仿宋" w:hAnsi="仿宋" w:eastAsia="仿宋" w:cstheme="majorEastAsia"/>
          <w:color w:val="000000"/>
          <w:kern w:val="0"/>
          <w:sz w:val="24"/>
          <w:szCs w:val="24"/>
          <w:lang w:bidi="ar"/>
        </w:rPr>
        <w:t>（1）学生</w:t>
      </w:r>
      <w:r>
        <w:rPr>
          <w:rFonts w:ascii="仿宋" w:hAnsi="仿宋" w:eastAsia="仿宋" w:cstheme="majorEastAsia"/>
          <w:color w:val="000000"/>
          <w:kern w:val="0"/>
          <w:sz w:val="24"/>
          <w:szCs w:val="24"/>
          <w:lang w:bidi="ar"/>
        </w:rPr>
        <w:t>完成申请</w:t>
      </w:r>
    </w:p>
    <w:p w14:paraId="081EC867">
      <w:pPr>
        <w:widowControl/>
        <w:ind w:firstLine="480" w:firstLineChars="200"/>
        <w:jc w:val="left"/>
        <w:rPr>
          <w:rFonts w:hint="eastAsia" w:ascii="仿宋" w:hAnsi="仿宋" w:eastAsia="仿宋" w:cstheme="majorEastAsia"/>
          <w:color w:val="000000"/>
          <w:kern w:val="0"/>
          <w:sz w:val="24"/>
          <w:szCs w:val="24"/>
          <w:lang w:bidi="ar"/>
        </w:rPr>
      </w:pPr>
      <w:r>
        <w:rPr>
          <w:rFonts w:hint="eastAsia" w:ascii="仿宋" w:hAnsi="仿宋" w:eastAsia="仿宋" w:cstheme="majorEastAsia"/>
          <w:color w:val="000000"/>
          <w:kern w:val="0"/>
          <w:sz w:val="24"/>
          <w:szCs w:val="24"/>
          <w:lang w:bidi="ar"/>
        </w:rPr>
        <w:t>相关学院将评审通知和要求告知每名应参评奖学金生，并督促学生在规定时间内完成申请和材料提交；</w:t>
      </w:r>
    </w:p>
    <w:p w14:paraId="1FFABBD6">
      <w:pPr>
        <w:widowControl/>
        <w:jc w:val="left"/>
        <w:rPr>
          <w:rFonts w:hint="eastAsia" w:ascii="仿宋" w:hAnsi="仿宋" w:eastAsia="仿宋" w:cstheme="majorEastAsia"/>
          <w:color w:val="000000"/>
          <w:kern w:val="0"/>
          <w:sz w:val="24"/>
          <w:szCs w:val="24"/>
          <w:lang w:bidi="ar"/>
        </w:rPr>
      </w:pPr>
      <w:r>
        <w:rPr>
          <w:rFonts w:hint="eastAsia" w:ascii="仿宋" w:hAnsi="仿宋" w:eastAsia="仿宋" w:cstheme="majorEastAsia"/>
          <w:color w:val="000000"/>
          <w:kern w:val="0"/>
          <w:sz w:val="24"/>
          <w:szCs w:val="24"/>
          <w:lang w:bidi="ar"/>
        </w:rPr>
        <w:t>（2）学院完成评审</w:t>
      </w:r>
    </w:p>
    <w:p w14:paraId="7104BEDB">
      <w:pPr>
        <w:widowControl/>
        <w:ind w:firstLine="480" w:firstLineChars="200"/>
        <w:jc w:val="left"/>
        <w:rPr>
          <w:rFonts w:hint="eastAsia" w:ascii="仿宋" w:hAnsi="仿宋" w:eastAsia="仿宋" w:cstheme="majorEastAsia"/>
          <w:color w:val="000000"/>
          <w:kern w:val="0"/>
          <w:sz w:val="24"/>
          <w:szCs w:val="24"/>
          <w:lang w:bidi="ar"/>
        </w:rPr>
      </w:pPr>
      <w:r>
        <w:rPr>
          <w:rFonts w:hint="eastAsia" w:ascii="仿宋" w:hAnsi="仿宋" w:eastAsia="仿宋" w:cstheme="majorEastAsia"/>
          <w:color w:val="000000"/>
          <w:kern w:val="0"/>
          <w:sz w:val="24"/>
          <w:szCs w:val="24"/>
          <w:lang w:bidi="ar"/>
        </w:rPr>
        <w:t>学院经审核学生申请材料后，在《北京工商大学</w:t>
      </w:r>
      <w:r>
        <w:rPr>
          <w:rFonts w:hint="eastAsia" w:ascii="仿宋" w:hAnsi="仿宋" w:eastAsia="仿宋" w:cstheme="majorEastAsia"/>
          <w:color w:val="000000"/>
          <w:kern w:val="0"/>
          <w:sz w:val="24"/>
          <w:szCs w:val="24"/>
          <w:lang w:eastAsia="zh-CN" w:bidi="ar"/>
        </w:rPr>
        <w:t>北京来华留学生政府奖学金</w:t>
      </w:r>
      <w:r>
        <w:rPr>
          <w:rFonts w:hint="eastAsia" w:ascii="仿宋" w:hAnsi="仿宋" w:eastAsia="仿宋" w:cstheme="majorEastAsia"/>
          <w:color w:val="000000"/>
          <w:kern w:val="0"/>
          <w:sz w:val="24"/>
          <w:szCs w:val="24"/>
          <w:lang w:bidi="ar"/>
        </w:rPr>
        <w:t>申请表（在校生）》中出具学院打分和评审意见，并完成《</w:t>
      </w:r>
      <w:r>
        <w:rPr>
          <w:rFonts w:hint="eastAsia" w:ascii="仿宋" w:hAnsi="仿宋" w:eastAsia="仿宋" w:cstheme="majorEastAsia"/>
          <w:color w:val="000000"/>
          <w:kern w:val="0"/>
          <w:sz w:val="24"/>
          <w:szCs w:val="24"/>
          <w:lang w:eastAsia="zh-CN" w:bidi="ar"/>
        </w:rPr>
        <w:t>北京来华留学生政府奖学金</w:t>
      </w:r>
      <w:r>
        <w:rPr>
          <w:rFonts w:hint="eastAsia" w:ascii="仿宋" w:hAnsi="仿宋" w:eastAsia="仿宋" w:cstheme="majorEastAsia"/>
          <w:color w:val="000000"/>
          <w:kern w:val="0"/>
          <w:sz w:val="24"/>
          <w:szCs w:val="24"/>
          <w:lang w:bidi="ar"/>
        </w:rPr>
        <w:t>生年度评审学院意见表》。后将参评学生成绩单、自评材料、签字盖章的《</w:t>
      </w:r>
      <w:r>
        <w:rPr>
          <w:rFonts w:hint="eastAsia" w:ascii="仿宋" w:hAnsi="仿宋" w:eastAsia="仿宋" w:cstheme="majorEastAsia"/>
          <w:color w:val="000000"/>
          <w:kern w:val="0"/>
          <w:sz w:val="24"/>
          <w:szCs w:val="24"/>
          <w:lang w:eastAsia="zh-CN" w:bidi="ar"/>
        </w:rPr>
        <w:t>北京来华留学生政府奖学金</w:t>
      </w:r>
      <w:r>
        <w:rPr>
          <w:rFonts w:hint="eastAsia" w:ascii="仿宋" w:hAnsi="仿宋" w:eastAsia="仿宋" w:cstheme="majorEastAsia"/>
          <w:color w:val="000000"/>
          <w:kern w:val="0"/>
          <w:sz w:val="24"/>
          <w:szCs w:val="24"/>
          <w:lang w:bidi="ar"/>
        </w:rPr>
        <w:t>申请表（在校生）》和《</w:t>
      </w:r>
      <w:r>
        <w:rPr>
          <w:rFonts w:hint="eastAsia" w:ascii="仿宋" w:hAnsi="仿宋" w:eastAsia="仿宋" w:cstheme="majorEastAsia"/>
          <w:color w:val="000000"/>
          <w:kern w:val="0"/>
          <w:sz w:val="24"/>
          <w:szCs w:val="24"/>
          <w:lang w:eastAsia="zh-CN" w:bidi="ar"/>
        </w:rPr>
        <w:t>北京来华留学生政府奖学金</w:t>
      </w:r>
      <w:r>
        <w:rPr>
          <w:rFonts w:hint="eastAsia" w:ascii="仿宋" w:hAnsi="仿宋" w:eastAsia="仿宋" w:cstheme="majorEastAsia"/>
          <w:color w:val="000000"/>
          <w:kern w:val="0"/>
          <w:sz w:val="24"/>
          <w:szCs w:val="24"/>
          <w:lang w:bidi="ar"/>
        </w:rPr>
        <w:t>生年度评审学院意见表》报送至国际教育学院。</w:t>
      </w:r>
    </w:p>
    <w:p w14:paraId="5E1AC7A6">
      <w:pPr>
        <w:widowControl/>
        <w:jc w:val="left"/>
        <w:rPr>
          <w:rFonts w:hint="eastAsia" w:ascii="仿宋" w:hAnsi="仿宋" w:eastAsia="仿宋" w:cstheme="majorEastAsia"/>
          <w:color w:val="000000"/>
          <w:kern w:val="0"/>
          <w:sz w:val="24"/>
          <w:szCs w:val="24"/>
          <w:lang w:bidi="ar"/>
        </w:rPr>
      </w:pPr>
    </w:p>
    <w:p w14:paraId="446A2151">
      <w:pPr>
        <w:widowControl/>
        <w:jc w:val="left"/>
        <w:rPr>
          <w:rFonts w:hint="eastAsia" w:ascii="仿宋" w:hAnsi="仿宋" w:eastAsia="仿宋" w:cstheme="majorEastAsia"/>
          <w:color w:val="000000"/>
          <w:kern w:val="0"/>
          <w:sz w:val="24"/>
          <w:szCs w:val="24"/>
          <w:lang w:bidi="ar"/>
        </w:rPr>
      </w:pPr>
      <w:r>
        <w:rPr>
          <w:rFonts w:hint="eastAsia" w:ascii="仿宋" w:hAnsi="仿宋" w:eastAsia="仿宋" w:cstheme="majorEastAsia"/>
          <w:color w:val="000000"/>
          <w:kern w:val="0"/>
          <w:sz w:val="24"/>
          <w:szCs w:val="24"/>
          <w:lang w:bidi="ar"/>
        </w:rPr>
        <w:t>3. 学校评审阶段：</w:t>
      </w:r>
    </w:p>
    <w:p w14:paraId="368CFD7D">
      <w:pPr>
        <w:widowControl/>
        <w:ind w:firstLine="480" w:firstLineChars="200"/>
        <w:jc w:val="left"/>
        <w:rPr>
          <w:rFonts w:hint="eastAsia" w:ascii="仿宋" w:hAnsi="仿宋" w:eastAsia="仿宋" w:cstheme="majorEastAsia"/>
          <w:color w:val="000000"/>
          <w:kern w:val="0"/>
          <w:sz w:val="24"/>
          <w:szCs w:val="24"/>
          <w:lang w:bidi="ar"/>
        </w:rPr>
      </w:pPr>
      <w:r>
        <w:rPr>
          <w:rFonts w:hint="eastAsia" w:ascii="仿宋" w:hAnsi="仿宋" w:eastAsia="仿宋" w:cstheme="majorEastAsia"/>
          <w:color w:val="000000"/>
          <w:kern w:val="0"/>
          <w:sz w:val="24"/>
          <w:szCs w:val="24"/>
          <w:lang w:bidi="ar"/>
        </w:rPr>
        <w:t>国际教育学院对学院评审材料进行复核后，将拟获奖学金学生名单报至北京工商大学外国留学生奖学金评审工作委员会（以下简称“评委会”）评审。评委会审核后确定下一学年奖学金获得者名单，国际教育学院形成学校年度评审报告，并将最终评审结果在学校网站进行公示。</w:t>
      </w:r>
    </w:p>
    <w:p w14:paraId="59E56ED0">
      <w:pPr>
        <w:autoSpaceDE w:val="0"/>
        <w:autoSpaceDN w:val="0"/>
        <w:adjustRightInd w:val="0"/>
        <w:snapToGrid w:val="0"/>
        <w:jc w:val="left"/>
        <w:rPr>
          <w:rFonts w:hint="eastAsia" w:ascii="仿宋" w:hAnsi="仿宋" w:eastAsia="仿宋" w:cstheme="majorEastAsia"/>
          <w:color w:val="000000"/>
          <w:kern w:val="0"/>
          <w:sz w:val="24"/>
          <w:szCs w:val="24"/>
          <w:lang w:bidi="ar"/>
        </w:rPr>
      </w:pPr>
    </w:p>
    <w:p w14:paraId="51D90990">
      <w:pPr>
        <w:pStyle w:val="18"/>
        <w:numPr>
          <w:ilvl w:val="0"/>
          <w:numId w:val="4"/>
        </w:numPr>
        <w:autoSpaceDE w:val="0"/>
        <w:autoSpaceDN w:val="0"/>
        <w:adjustRightInd w:val="0"/>
        <w:snapToGrid w:val="0"/>
        <w:ind w:firstLineChars="0"/>
        <w:jc w:val="left"/>
        <w:rPr>
          <w:rFonts w:hint="eastAsia" w:ascii="仿宋" w:hAnsi="仿宋" w:eastAsia="仿宋" w:cstheme="majorEastAsia"/>
          <w:kern w:val="0"/>
          <w:sz w:val="24"/>
          <w:szCs w:val="24"/>
        </w:rPr>
      </w:pPr>
      <w:r>
        <w:rPr>
          <w:rFonts w:hint="eastAsia" w:ascii="仿宋" w:hAnsi="仿宋" w:eastAsia="仿宋" w:cstheme="majorEastAsia"/>
          <w:kern w:val="0"/>
          <w:sz w:val="24"/>
          <w:szCs w:val="24"/>
        </w:rPr>
        <w:t>评审内容和</w:t>
      </w:r>
      <w:r>
        <w:rPr>
          <w:rFonts w:ascii="仿宋" w:hAnsi="仿宋" w:eastAsia="仿宋" w:cstheme="majorEastAsia"/>
          <w:kern w:val="0"/>
          <w:sz w:val="24"/>
          <w:szCs w:val="24"/>
        </w:rPr>
        <w:t>评分标准</w:t>
      </w:r>
    </w:p>
    <w:p w14:paraId="0E50B7A7">
      <w:pPr>
        <w:autoSpaceDE w:val="0"/>
        <w:autoSpaceDN w:val="0"/>
        <w:adjustRightInd w:val="0"/>
        <w:snapToGrid w:val="0"/>
        <w:ind w:firstLine="480" w:firstLineChars="200"/>
        <w:jc w:val="left"/>
        <w:rPr>
          <w:rFonts w:hint="eastAsia" w:ascii="仿宋" w:hAnsi="仿宋" w:eastAsia="仿宋" w:cstheme="majorEastAsia"/>
          <w:kern w:val="0"/>
          <w:sz w:val="24"/>
          <w:szCs w:val="24"/>
        </w:rPr>
      </w:pPr>
      <w:r>
        <w:rPr>
          <w:rFonts w:hint="eastAsia" w:ascii="仿宋" w:hAnsi="仿宋" w:eastAsia="仿宋" w:cstheme="majorEastAsia"/>
          <w:kern w:val="0"/>
          <w:sz w:val="24"/>
          <w:szCs w:val="24"/>
        </w:rPr>
        <w:t>奖学金年度评审具体量化标准，总分100分。道德品行占30%，学习成绩占30%，学习/科研态度占20%，活动表现占20%。</w:t>
      </w:r>
    </w:p>
    <w:p w14:paraId="49A22914">
      <w:pPr>
        <w:autoSpaceDE w:val="0"/>
        <w:autoSpaceDN w:val="0"/>
        <w:adjustRightInd w:val="0"/>
        <w:snapToGrid w:val="0"/>
        <w:ind w:firstLine="480" w:firstLineChars="200"/>
        <w:jc w:val="left"/>
        <w:rPr>
          <w:rFonts w:hint="eastAsia" w:ascii="仿宋" w:hAnsi="仿宋" w:eastAsia="仿宋" w:cstheme="majorEastAsia"/>
          <w:kern w:val="0"/>
          <w:sz w:val="24"/>
          <w:szCs w:val="24"/>
        </w:rPr>
      </w:pPr>
      <w:r>
        <w:rPr>
          <w:rFonts w:hint="eastAsia" w:ascii="仿宋" w:hAnsi="仿宋" w:eastAsia="仿宋" w:cstheme="majorEastAsia"/>
          <w:kern w:val="0"/>
          <w:sz w:val="24"/>
          <w:szCs w:val="24"/>
        </w:rPr>
        <w:t>根据奖学金生本学年在道德品行、学习成绩、学习/科研态度及活动表现等四方面的情况，对每名学生进行定量打分和定性评价。原则上定量打分情况应与评审意见一致，即总分为60分及以上者视为合格。</w:t>
      </w:r>
    </w:p>
    <w:p w14:paraId="6D0ED2EF">
      <w:pPr>
        <w:tabs>
          <w:tab w:val="left" w:pos="6420"/>
        </w:tabs>
        <w:rPr>
          <w:rFonts w:hint="eastAsia" w:ascii="仿宋" w:hAnsi="仿宋" w:eastAsia="仿宋" w:cstheme="majorEastAsia"/>
          <w:sz w:val="24"/>
          <w:szCs w:val="24"/>
        </w:rPr>
      </w:pPr>
      <w:r>
        <w:rPr>
          <w:rFonts w:ascii="仿宋" w:hAnsi="仿宋" w:eastAsia="仿宋" w:cstheme="majorEastAsia"/>
          <w:sz w:val="24"/>
          <w:szCs w:val="24"/>
        </w:rPr>
        <w:tab/>
      </w:r>
    </w:p>
    <w:p w14:paraId="6CBEFF87">
      <w:pPr>
        <w:tabs>
          <w:tab w:val="left" w:pos="6420"/>
        </w:tabs>
        <w:rPr>
          <w:rFonts w:hint="eastAsia" w:ascii="仿宋" w:hAnsi="仿宋" w:eastAsia="仿宋" w:cstheme="majorEastAsia"/>
          <w:sz w:val="24"/>
          <w:szCs w:val="24"/>
        </w:rPr>
      </w:pPr>
    </w:p>
    <w:p w14:paraId="765DBCAD">
      <w:pPr>
        <w:rPr>
          <w:rFonts w:hint="eastAsia" w:ascii="仿宋" w:hAnsi="仿宋" w:eastAsia="仿宋" w:cstheme="majorEastAsia"/>
          <w:sz w:val="24"/>
          <w:szCs w:val="24"/>
        </w:rPr>
      </w:pPr>
    </w:p>
    <w:p w14:paraId="6590FB1A">
      <w:pPr>
        <w:rPr>
          <w:rFonts w:hint="eastAsia" w:ascii="仿宋" w:hAnsi="仿宋" w:eastAsia="仿宋" w:cstheme="majorEastAsia"/>
          <w:sz w:val="24"/>
          <w:szCs w:val="24"/>
        </w:rPr>
        <w:sectPr>
          <w:pgSz w:w="11906" w:h="16838"/>
          <w:pgMar w:top="1440" w:right="1800" w:bottom="1440" w:left="1800" w:header="851" w:footer="992" w:gutter="0"/>
          <w:cols w:space="425" w:num="1"/>
          <w:docGrid w:type="lines" w:linePitch="312" w:charSpace="0"/>
        </w:sectPr>
      </w:pPr>
    </w:p>
    <w:tbl>
      <w:tblPr>
        <w:tblStyle w:val="8"/>
        <w:tblpPr w:leftFromText="180" w:rightFromText="180" w:vertAnchor="text" w:horzAnchor="page" w:tblpX="671" w:tblpY="141"/>
        <w:tblOverlap w:val="never"/>
        <w:tblW w:w="157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4"/>
        <w:gridCol w:w="1314"/>
        <w:gridCol w:w="1314"/>
        <w:gridCol w:w="1314"/>
        <w:gridCol w:w="1314"/>
        <w:gridCol w:w="1314"/>
        <w:gridCol w:w="1314"/>
        <w:gridCol w:w="1314"/>
        <w:gridCol w:w="1314"/>
        <w:gridCol w:w="1314"/>
        <w:gridCol w:w="1314"/>
        <w:gridCol w:w="1324"/>
      </w:tblGrid>
      <w:tr w14:paraId="1B11F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exact"/>
        </w:trPr>
        <w:tc>
          <w:tcPr>
            <w:tcW w:w="5256" w:type="dxa"/>
            <w:gridSpan w:val="4"/>
            <w:vAlign w:val="center"/>
          </w:tcPr>
          <w:p w14:paraId="23672045">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道德品行（30分）</w:t>
            </w:r>
          </w:p>
        </w:tc>
        <w:tc>
          <w:tcPr>
            <w:tcW w:w="5256" w:type="dxa"/>
            <w:gridSpan w:val="4"/>
            <w:vAlign w:val="center"/>
          </w:tcPr>
          <w:p w14:paraId="464DB9C1">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学习成绩（30分）</w:t>
            </w:r>
          </w:p>
        </w:tc>
        <w:tc>
          <w:tcPr>
            <w:tcW w:w="2628" w:type="dxa"/>
            <w:gridSpan w:val="2"/>
            <w:vMerge w:val="restart"/>
            <w:vAlign w:val="center"/>
          </w:tcPr>
          <w:p w14:paraId="2EDBEDEB">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学习/科研态度</w:t>
            </w:r>
          </w:p>
          <w:p w14:paraId="46430AD1">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（20分）</w:t>
            </w:r>
          </w:p>
        </w:tc>
        <w:tc>
          <w:tcPr>
            <w:tcW w:w="2638" w:type="dxa"/>
            <w:gridSpan w:val="2"/>
            <w:vMerge w:val="restart"/>
            <w:vAlign w:val="center"/>
          </w:tcPr>
          <w:p w14:paraId="1502C17B">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活动表现</w:t>
            </w:r>
          </w:p>
          <w:p w14:paraId="25C53F16">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（20分）</w:t>
            </w:r>
          </w:p>
        </w:tc>
      </w:tr>
      <w:tr w14:paraId="48BC5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exact"/>
        </w:trPr>
        <w:tc>
          <w:tcPr>
            <w:tcW w:w="2628" w:type="dxa"/>
            <w:gridSpan w:val="2"/>
            <w:vAlign w:val="center"/>
          </w:tcPr>
          <w:p w14:paraId="1BA4FF2D">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日常行为表现</w:t>
            </w:r>
          </w:p>
          <w:p w14:paraId="23DE2F33">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15分</w:t>
            </w:r>
          </w:p>
        </w:tc>
        <w:tc>
          <w:tcPr>
            <w:tcW w:w="2628" w:type="dxa"/>
            <w:gridSpan w:val="2"/>
            <w:vAlign w:val="center"/>
          </w:tcPr>
          <w:p w14:paraId="1DC586CE">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遵纪守法情况</w:t>
            </w:r>
          </w:p>
          <w:p w14:paraId="3DD1470E">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15分</w:t>
            </w:r>
          </w:p>
        </w:tc>
        <w:tc>
          <w:tcPr>
            <w:tcW w:w="2628" w:type="dxa"/>
            <w:gridSpan w:val="2"/>
            <w:vAlign w:val="center"/>
          </w:tcPr>
          <w:p w14:paraId="209FC319">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出勤率和课堂表现</w:t>
            </w:r>
          </w:p>
          <w:p w14:paraId="2C0C55D9">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10分</w:t>
            </w:r>
          </w:p>
        </w:tc>
        <w:tc>
          <w:tcPr>
            <w:tcW w:w="2628" w:type="dxa"/>
            <w:gridSpan w:val="2"/>
            <w:vAlign w:val="center"/>
          </w:tcPr>
          <w:p w14:paraId="70462F69">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考试成绩</w:t>
            </w:r>
          </w:p>
          <w:p w14:paraId="4F95B738">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20分</w:t>
            </w:r>
          </w:p>
        </w:tc>
        <w:tc>
          <w:tcPr>
            <w:tcW w:w="2628" w:type="dxa"/>
            <w:gridSpan w:val="2"/>
            <w:vMerge w:val="continue"/>
            <w:vAlign w:val="center"/>
          </w:tcPr>
          <w:p w14:paraId="3DA2C4B9">
            <w:pPr>
              <w:autoSpaceDE w:val="0"/>
              <w:autoSpaceDN w:val="0"/>
              <w:adjustRightInd w:val="0"/>
              <w:snapToGrid w:val="0"/>
              <w:jc w:val="center"/>
              <w:rPr>
                <w:rFonts w:hint="eastAsia" w:ascii="仿宋" w:hAnsi="仿宋" w:eastAsia="仿宋" w:cstheme="majorEastAsia"/>
                <w:kern w:val="0"/>
                <w:sz w:val="24"/>
                <w:szCs w:val="24"/>
              </w:rPr>
            </w:pPr>
          </w:p>
        </w:tc>
        <w:tc>
          <w:tcPr>
            <w:tcW w:w="2638" w:type="dxa"/>
            <w:gridSpan w:val="2"/>
            <w:vMerge w:val="continue"/>
            <w:vAlign w:val="center"/>
          </w:tcPr>
          <w:p w14:paraId="2861BDD5">
            <w:pPr>
              <w:autoSpaceDE w:val="0"/>
              <w:autoSpaceDN w:val="0"/>
              <w:adjustRightInd w:val="0"/>
              <w:snapToGrid w:val="0"/>
              <w:jc w:val="center"/>
              <w:rPr>
                <w:rFonts w:hint="eastAsia" w:ascii="仿宋" w:hAnsi="仿宋" w:eastAsia="仿宋" w:cstheme="majorEastAsia"/>
                <w:kern w:val="0"/>
                <w:sz w:val="24"/>
                <w:szCs w:val="24"/>
              </w:rPr>
            </w:pPr>
          </w:p>
        </w:tc>
      </w:tr>
      <w:tr w14:paraId="045AA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1" w:hRule="exact"/>
        </w:trPr>
        <w:tc>
          <w:tcPr>
            <w:tcW w:w="2628" w:type="dxa"/>
            <w:gridSpan w:val="2"/>
            <w:vAlign w:val="center"/>
          </w:tcPr>
          <w:p w14:paraId="7CACD0BE">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考察学生是否服从学校和学院的管理情况、思想品行是否端正、特殊时期的具体表现。</w:t>
            </w:r>
          </w:p>
        </w:tc>
        <w:tc>
          <w:tcPr>
            <w:tcW w:w="2628" w:type="dxa"/>
            <w:gridSpan w:val="2"/>
            <w:vAlign w:val="center"/>
          </w:tcPr>
          <w:p w14:paraId="0CD0F5E6">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考查学生是否有违法违纪、违反校规校纪等行为。</w:t>
            </w:r>
          </w:p>
        </w:tc>
        <w:tc>
          <w:tcPr>
            <w:tcW w:w="2628" w:type="dxa"/>
            <w:gridSpan w:val="2"/>
            <w:vAlign w:val="center"/>
          </w:tcPr>
          <w:p w14:paraId="4776292F">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专业课学习期由学院进行评定；毕业论文撰写期由导师进行评定。</w:t>
            </w:r>
          </w:p>
        </w:tc>
        <w:tc>
          <w:tcPr>
            <w:tcW w:w="2628" w:type="dxa"/>
            <w:gridSpan w:val="2"/>
            <w:vAlign w:val="center"/>
          </w:tcPr>
          <w:p w14:paraId="1B16C57F">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专业课学习期以该学年度所修专业课平均分为准；毕业论文工作期以参与科研活动的工作量和发表论文为准。</w:t>
            </w:r>
          </w:p>
        </w:tc>
        <w:tc>
          <w:tcPr>
            <w:tcW w:w="2628" w:type="dxa"/>
            <w:gridSpan w:val="2"/>
            <w:vAlign w:val="center"/>
          </w:tcPr>
          <w:p w14:paraId="53A34F4F">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专业课学习期由学院进行评定；毕业论文撰写期由导师进行评定。研究生科研态度参考指标：发表SCI数，发表论文数量与质量，参加学术讲座次数，学术会议汇报次数，参与老师课题研究等。</w:t>
            </w:r>
          </w:p>
        </w:tc>
        <w:tc>
          <w:tcPr>
            <w:tcW w:w="2638" w:type="dxa"/>
            <w:gridSpan w:val="2"/>
            <w:vAlign w:val="center"/>
          </w:tcPr>
          <w:p w14:paraId="3B26700D">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考察学生是否积极参加学校/学院组织的各类活动、文体竞赛、志愿服务、学术交流等。</w:t>
            </w:r>
          </w:p>
          <w:p w14:paraId="4CA58135">
            <w:pPr>
              <w:autoSpaceDE w:val="0"/>
              <w:autoSpaceDN w:val="0"/>
              <w:adjustRightInd w:val="0"/>
              <w:snapToGrid w:val="0"/>
              <w:jc w:val="center"/>
              <w:rPr>
                <w:rFonts w:hint="eastAsia" w:ascii="仿宋" w:hAnsi="仿宋" w:eastAsia="仿宋" w:cstheme="majorEastAsia"/>
                <w:kern w:val="0"/>
                <w:sz w:val="24"/>
                <w:szCs w:val="24"/>
              </w:rPr>
            </w:pPr>
          </w:p>
        </w:tc>
      </w:tr>
      <w:tr w14:paraId="135CF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314" w:type="dxa"/>
            <w:vAlign w:val="center"/>
          </w:tcPr>
          <w:p w14:paraId="25374F29">
            <w:pPr>
              <w:autoSpaceDE w:val="0"/>
              <w:autoSpaceDN w:val="0"/>
              <w:adjustRightInd w:val="0"/>
              <w:snapToGrid w:val="0"/>
              <w:jc w:val="center"/>
              <w:rPr>
                <w:rFonts w:hint="eastAsia" w:ascii="仿宋" w:hAnsi="仿宋" w:eastAsia="仿宋" w:cstheme="majorEastAsia"/>
                <w:i/>
                <w:iCs/>
                <w:kern w:val="0"/>
                <w:sz w:val="24"/>
                <w:szCs w:val="24"/>
              </w:rPr>
            </w:pPr>
            <w:r>
              <w:rPr>
                <w:rFonts w:hint="eastAsia" w:ascii="仿宋" w:hAnsi="仿宋" w:eastAsia="仿宋" w:cstheme="majorEastAsia"/>
                <w:i/>
                <w:iCs/>
                <w:kern w:val="0"/>
                <w:sz w:val="24"/>
                <w:szCs w:val="24"/>
              </w:rPr>
              <w:t>等级</w:t>
            </w:r>
          </w:p>
        </w:tc>
        <w:tc>
          <w:tcPr>
            <w:tcW w:w="1314" w:type="dxa"/>
            <w:vAlign w:val="center"/>
          </w:tcPr>
          <w:p w14:paraId="55E496FC">
            <w:pPr>
              <w:autoSpaceDE w:val="0"/>
              <w:autoSpaceDN w:val="0"/>
              <w:adjustRightInd w:val="0"/>
              <w:snapToGrid w:val="0"/>
              <w:jc w:val="center"/>
              <w:rPr>
                <w:rFonts w:hint="eastAsia" w:ascii="仿宋" w:hAnsi="仿宋" w:eastAsia="仿宋" w:cstheme="majorEastAsia"/>
                <w:i/>
                <w:iCs/>
                <w:kern w:val="0"/>
                <w:sz w:val="24"/>
                <w:szCs w:val="24"/>
              </w:rPr>
            </w:pPr>
            <w:r>
              <w:rPr>
                <w:rFonts w:hint="eastAsia" w:ascii="仿宋" w:hAnsi="仿宋" w:eastAsia="仿宋" w:cstheme="majorEastAsia"/>
                <w:i/>
                <w:iCs/>
                <w:kern w:val="0"/>
                <w:sz w:val="24"/>
                <w:szCs w:val="24"/>
              </w:rPr>
              <w:t>得分</w:t>
            </w:r>
          </w:p>
        </w:tc>
        <w:tc>
          <w:tcPr>
            <w:tcW w:w="1314" w:type="dxa"/>
            <w:vAlign w:val="center"/>
          </w:tcPr>
          <w:p w14:paraId="3D811923">
            <w:pPr>
              <w:autoSpaceDE w:val="0"/>
              <w:autoSpaceDN w:val="0"/>
              <w:adjustRightInd w:val="0"/>
              <w:snapToGrid w:val="0"/>
              <w:jc w:val="center"/>
              <w:rPr>
                <w:rFonts w:hint="eastAsia" w:ascii="仿宋" w:hAnsi="仿宋" w:eastAsia="仿宋" w:cstheme="majorEastAsia"/>
                <w:i/>
                <w:iCs/>
                <w:kern w:val="0"/>
                <w:sz w:val="24"/>
                <w:szCs w:val="24"/>
              </w:rPr>
            </w:pPr>
            <w:r>
              <w:rPr>
                <w:rFonts w:hint="eastAsia" w:ascii="仿宋" w:hAnsi="仿宋" w:eastAsia="仿宋" w:cstheme="majorEastAsia"/>
                <w:i/>
                <w:iCs/>
                <w:kern w:val="0"/>
                <w:sz w:val="24"/>
                <w:szCs w:val="24"/>
              </w:rPr>
              <w:t>等级</w:t>
            </w:r>
          </w:p>
        </w:tc>
        <w:tc>
          <w:tcPr>
            <w:tcW w:w="1314" w:type="dxa"/>
            <w:vAlign w:val="center"/>
          </w:tcPr>
          <w:p w14:paraId="1CAE3A85">
            <w:pPr>
              <w:autoSpaceDE w:val="0"/>
              <w:autoSpaceDN w:val="0"/>
              <w:adjustRightInd w:val="0"/>
              <w:snapToGrid w:val="0"/>
              <w:jc w:val="center"/>
              <w:rPr>
                <w:rFonts w:hint="eastAsia" w:ascii="仿宋" w:hAnsi="仿宋" w:eastAsia="仿宋" w:cstheme="majorEastAsia"/>
                <w:i/>
                <w:iCs/>
                <w:kern w:val="0"/>
                <w:sz w:val="24"/>
                <w:szCs w:val="24"/>
              </w:rPr>
            </w:pPr>
            <w:r>
              <w:rPr>
                <w:rFonts w:hint="eastAsia" w:ascii="仿宋" w:hAnsi="仿宋" w:eastAsia="仿宋" w:cstheme="majorEastAsia"/>
                <w:i/>
                <w:iCs/>
                <w:kern w:val="0"/>
                <w:sz w:val="24"/>
                <w:szCs w:val="24"/>
              </w:rPr>
              <w:t>得分</w:t>
            </w:r>
          </w:p>
        </w:tc>
        <w:tc>
          <w:tcPr>
            <w:tcW w:w="1314" w:type="dxa"/>
            <w:vAlign w:val="center"/>
          </w:tcPr>
          <w:p w14:paraId="6307BBE2">
            <w:pPr>
              <w:autoSpaceDE w:val="0"/>
              <w:autoSpaceDN w:val="0"/>
              <w:adjustRightInd w:val="0"/>
              <w:snapToGrid w:val="0"/>
              <w:jc w:val="center"/>
              <w:rPr>
                <w:rFonts w:hint="eastAsia" w:ascii="仿宋" w:hAnsi="仿宋" w:eastAsia="仿宋" w:cstheme="majorEastAsia"/>
                <w:i/>
                <w:iCs/>
                <w:kern w:val="0"/>
                <w:sz w:val="24"/>
                <w:szCs w:val="24"/>
              </w:rPr>
            </w:pPr>
            <w:r>
              <w:rPr>
                <w:rFonts w:hint="eastAsia" w:ascii="仿宋" w:hAnsi="仿宋" w:eastAsia="仿宋" w:cstheme="majorEastAsia"/>
                <w:i/>
                <w:iCs/>
                <w:kern w:val="0"/>
                <w:sz w:val="24"/>
                <w:szCs w:val="24"/>
              </w:rPr>
              <w:t>等级</w:t>
            </w:r>
          </w:p>
        </w:tc>
        <w:tc>
          <w:tcPr>
            <w:tcW w:w="1314" w:type="dxa"/>
            <w:vAlign w:val="center"/>
          </w:tcPr>
          <w:p w14:paraId="3ABFB674">
            <w:pPr>
              <w:autoSpaceDE w:val="0"/>
              <w:autoSpaceDN w:val="0"/>
              <w:adjustRightInd w:val="0"/>
              <w:snapToGrid w:val="0"/>
              <w:jc w:val="center"/>
              <w:rPr>
                <w:rFonts w:hint="eastAsia" w:ascii="仿宋" w:hAnsi="仿宋" w:eastAsia="仿宋" w:cstheme="majorEastAsia"/>
                <w:i/>
                <w:iCs/>
                <w:kern w:val="0"/>
                <w:sz w:val="24"/>
                <w:szCs w:val="24"/>
              </w:rPr>
            </w:pPr>
            <w:r>
              <w:rPr>
                <w:rFonts w:hint="eastAsia" w:ascii="仿宋" w:hAnsi="仿宋" w:eastAsia="仿宋" w:cstheme="majorEastAsia"/>
                <w:i/>
                <w:iCs/>
                <w:kern w:val="0"/>
                <w:sz w:val="24"/>
                <w:szCs w:val="24"/>
              </w:rPr>
              <w:t>得分</w:t>
            </w:r>
          </w:p>
        </w:tc>
        <w:tc>
          <w:tcPr>
            <w:tcW w:w="1314" w:type="dxa"/>
            <w:vAlign w:val="center"/>
          </w:tcPr>
          <w:p w14:paraId="67C74273">
            <w:pPr>
              <w:autoSpaceDE w:val="0"/>
              <w:autoSpaceDN w:val="0"/>
              <w:adjustRightInd w:val="0"/>
              <w:snapToGrid w:val="0"/>
              <w:jc w:val="center"/>
              <w:rPr>
                <w:rFonts w:hint="eastAsia" w:ascii="仿宋" w:hAnsi="仿宋" w:eastAsia="仿宋" w:cstheme="majorEastAsia"/>
                <w:i/>
                <w:iCs/>
                <w:kern w:val="0"/>
                <w:sz w:val="24"/>
                <w:szCs w:val="24"/>
              </w:rPr>
            </w:pPr>
            <w:r>
              <w:rPr>
                <w:rFonts w:hint="eastAsia" w:ascii="仿宋" w:hAnsi="仿宋" w:eastAsia="仿宋" w:cstheme="majorEastAsia"/>
                <w:i/>
                <w:iCs/>
                <w:kern w:val="0"/>
                <w:sz w:val="24"/>
                <w:szCs w:val="24"/>
              </w:rPr>
              <w:t>等级</w:t>
            </w:r>
          </w:p>
        </w:tc>
        <w:tc>
          <w:tcPr>
            <w:tcW w:w="1314" w:type="dxa"/>
            <w:vAlign w:val="center"/>
          </w:tcPr>
          <w:p w14:paraId="624D2C76">
            <w:pPr>
              <w:autoSpaceDE w:val="0"/>
              <w:autoSpaceDN w:val="0"/>
              <w:adjustRightInd w:val="0"/>
              <w:snapToGrid w:val="0"/>
              <w:jc w:val="center"/>
              <w:rPr>
                <w:rFonts w:hint="eastAsia" w:ascii="仿宋" w:hAnsi="仿宋" w:eastAsia="仿宋" w:cstheme="majorEastAsia"/>
                <w:i/>
                <w:iCs/>
                <w:kern w:val="0"/>
                <w:sz w:val="24"/>
                <w:szCs w:val="24"/>
              </w:rPr>
            </w:pPr>
            <w:r>
              <w:rPr>
                <w:rFonts w:hint="eastAsia" w:ascii="仿宋" w:hAnsi="仿宋" w:eastAsia="仿宋" w:cstheme="majorEastAsia"/>
                <w:i/>
                <w:iCs/>
                <w:kern w:val="0"/>
                <w:sz w:val="24"/>
                <w:szCs w:val="24"/>
              </w:rPr>
              <w:t>得分</w:t>
            </w:r>
          </w:p>
        </w:tc>
        <w:tc>
          <w:tcPr>
            <w:tcW w:w="1314" w:type="dxa"/>
            <w:vAlign w:val="center"/>
          </w:tcPr>
          <w:p w14:paraId="45AFA048">
            <w:pPr>
              <w:autoSpaceDE w:val="0"/>
              <w:autoSpaceDN w:val="0"/>
              <w:adjustRightInd w:val="0"/>
              <w:snapToGrid w:val="0"/>
              <w:jc w:val="center"/>
              <w:rPr>
                <w:rFonts w:hint="eastAsia" w:ascii="仿宋" w:hAnsi="仿宋" w:eastAsia="仿宋" w:cstheme="majorEastAsia"/>
                <w:i/>
                <w:iCs/>
                <w:kern w:val="0"/>
                <w:sz w:val="24"/>
                <w:szCs w:val="24"/>
              </w:rPr>
            </w:pPr>
            <w:r>
              <w:rPr>
                <w:rFonts w:hint="eastAsia" w:ascii="仿宋" w:hAnsi="仿宋" w:eastAsia="仿宋" w:cstheme="majorEastAsia"/>
                <w:i/>
                <w:iCs/>
                <w:kern w:val="0"/>
                <w:sz w:val="24"/>
                <w:szCs w:val="24"/>
              </w:rPr>
              <w:t>等级</w:t>
            </w:r>
          </w:p>
        </w:tc>
        <w:tc>
          <w:tcPr>
            <w:tcW w:w="1314" w:type="dxa"/>
            <w:vAlign w:val="center"/>
          </w:tcPr>
          <w:p w14:paraId="7DA4B5D5">
            <w:pPr>
              <w:autoSpaceDE w:val="0"/>
              <w:autoSpaceDN w:val="0"/>
              <w:adjustRightInd w:val="0"/>
              <w:snapToGrid w:val="0"/>
              <w:jc w:val="center"/>
              <w:rPr>
                <w:rFonts w:hint="eastAsia" w:ascii="仿宋" w:hAnsi="仿宋" w:eastAsia="仿宋" w:cstheme="majorEastAsia"/>
                <w:i/>
                <w:iCs/>
                <w:kern w:val="0"/>
                <w:sz w:val="24"/>
                <w:szCs w:val="24"/>
              </w:rPr>
            </w:pPr>
            <w:r>
              <w:rPr>
                <w:rFonts w:hint="eastAsia" w:ascii="仿宋" w:hAnsi="仿宋" w:eastAsia="仿宋" w:cstheme="majorEastAsia"/>
                <w:i/>
                <w:iCs/>
                <w:kern w:val="0"/>
                <w:sz w:val="24"/>
                <w:szCs w:val="24"/>
              </w:rPr>
              <w:t>得分</w:t>
            </w:r>
          </w:p>
        </w:tc>
        <w:tc>
          <w:tcPr>
            <w:tcW w:w="1314" w:type="dxa"/>
            <w:vAlign w:val="center"/>
          </w:tcPr>
          <w:p w14:paraId="32E097C1">
            <w:pPr>
              <w:autoSpaceDE w:val="0"/>
              <w:autoSpaceDN w:val="0"/>
              <w:adjustRightInd w:val="0"/>
              <w:snapToGrid w:val="0"/>
              <w:jc w:val="center"/>
              <w:rPr>
                <w:rFonts w:hint="eastAsia" w:ascii="仿宋" w:hAnsi="仿宋" w:eastAsia="仿宋" w:cstheme="majorEastAsia"/>
                <w:i/>
                <w:iCs/>
                <w:kern w:val="0"/>
                <w:sz w:val="24"/>
                <w:szCs w:val="24"/>
              </w:rPr>
            </w:pPr>
            <w:r>
              <w:rPr>
                <w:rFonts w:hint="eastAsia" w:ascii="仿宋" w:hAnsi="仿宋" w:eastAsia="仿宋" w:cstheme="majorEastAsia"/>
                <w:i/>
                <w:iCs/>
                <w:kern w:val="0"/>
                <w:sz w:val="24"/>
                <w:szCs w:val="24"/>
              </w:rPr>
              <w:t>等级</w:t>
            </w:r>
          </w:p>
        </w:tc>
        <w:tc>
          <w:tcPr>
            <w:tcW w:w="1324" w:type="dxa"/>
            <w:vAlign w:val="center"/>
          </w:tcPr>
          <w:p w14:paraId="6D2A85D3">
            <w:pPr>
              <w:autoSpaceDE w:val="0"/>
              <w:autoSpaceDN w:val="0"/>
              <w:adjustRightInd w:val="0"/>
              <w:snapToGrid w:val="0"/>
              <w:jc w:val="center"/>
              <w:rPr>
                <w:rFonts w:hint="eastAsia" w:ascii="仿宋" w:hAnsi="仿宋" w:eastAsia="仿宋" w:cstheme="majorEastAsia"/>
                <w:i/>
                <w:iCs/>
                <w:kern w:val="0"/>
                <w:sz w:val="24"/>
                <w:szCs w:val="24"/>
              </w:rPr>
            </w:pPr>
            <w:r>
              <w:rPr>
                <w:rFonts w:hint="eastAsia" w:ascii="仿宋" w:hAnsi="仿宋" w:eastAsia="仿宋" w:cstheme="majorEastAsia"/>
                <w:i/>
                <w:iCs/>
                <w:kern w:val="0"/>
                <w:sz w:val="24"/>
                <w:szCs w:val="24"/>
              </w:rPr>
              <w:t>得分</w:t>
            </w:r>
          </w:p>
        </w:tc>
      </w:tr>
      <w:tr w14:paraId="5B259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1314" w:type="dxa"/>
            <w:vAlign w:val="center"/>
          </w:tcPr>
          <w:p w14:paraId="6F9B5408">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优秀</w:t>
            </w:r>
          </w:p>
        </w:tc>
        <w:tc>
          <w:tcPr>
            <w:tcW w:w="1314" w:type="dxa"/>
            <w:vAlign w:val="center"/>
          </w:tcPr>
          <w:p w14:paraId="34F396F7">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12-15</w:t>
            </w:r>
          </w:p>
        </w:tc>
        <w:tc>
          <w:tcPr>
            <w:tcW w:w="1314" w:type="dxa"/>
            <w:vAlign w:val="center"/>
          </w:tcPr>
          <w:p w14:paraId="7FF35679">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优秀</w:t>
            </w:r>
          </w:p>
        </w:tc>
        <w:tc>
          <w:tcPr>
            <w:tcW w:w="1314" w:type="dxa"/>
            <w:vAlign w:val="center"/>
          </w:tcPr>
          <w:p w14:paraId="35494A82">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12-15</w:t>
            </w:r>
          </w:p>
        </w:tc>
        <w:tc>
          <w:tcPr>
            <w:tcW w:w="1314" w:type="dxa"/>
            <w:vAlign w:val="center"/>
          </w:tcPr>
          <w:p w14:paraId="57BC1C17">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优秀</w:t>
            </w:r>
          </w:p>
        </w:tc>
        <w:tc>
          <w:tcPr>
            <w:tcW w:w="1314" w:type="dxa"/>
            <w:vAlign w:val="center"/>
          </w:tcPr>
          <w:p w14:paraId="668E8767">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8-10</w:t>
            </w:r>
          </w:p>
        </w:tc>
        <w:tc>
          <w:tcPr>
            <w:tcW w:w="1314" w:type="dxa"/>
            <w:vAlign w:val="center"/>
          </w:tcPr>
          <w:p w14:paraId="04ED6D96">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优秀</w:t>
            </w:r>
          </w:p>
        </w:tc>
        <w:tc>
          <w:tcPr>
            <w:tcW w:w="1314" w:type="dxa"/>
            <w:vAlign w:val="center"/>
          </w:tcPr>
          <w:p w14:paraId="2391CDF0">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16-20</w:t>
            </w:r>
          </w:p>
        </w:tc>
        <w:tc>
          <w:tcPr>
            <w:tcW w:w="1314" w:type="dxa"/>
            <w:vAlign w:val="center"/>
          </w:tcPr>
          <w:p w14:paraId="2B963DBD">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优秀</w:t>
            </w:r>
          </w:p>
        </w:tc>
        <w:tc>
          <w:tcPr>
            <w:tcW w:w="1314" w:type="dxa"/>
            <w:vAlign w:val="center"/>
          </w:tcPr>
          <w:p w14:paraId="3DCB556D">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16-20</w:t>
            </w:r>
          </w:p>
        </w:tc>
        <w:tc>
          <w:tcPr>
            <w:tcW w:w="1314" w:type="dxa"/>
            <w:vAlign w:val="center"/>
          </w:tcPr>
          <w:p w14:paraId="3C99014D">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优秀</w:t>
            </w:r>
          </w:p>
        </w:tc>
        <w:tc>
          <w:tcPr>
            <w:tcW w:w="1324" w:type="dxa"/>
            <w:vAlign w:val="center"/>
          </w:tcPr>
          <w:p w14:paraId="54D3C47B">
            <w:pPr>
              <w:autoSpaceDE w:val="0"/>
              <w:autoSpaceDN w:val="0"/>
              <w:adjustRightInd w:val="0"/>
              <w:snapToGrid w:val="0"/>
              <w:jc w:val="center"/>
              <w:rPr>
                <w:rFonts w:hint="eastAsia" w:ascii="仿宋" w:hAnsi="仿宋" w:eastAsia="仿宋" w:cstheme="majorEastAsia"/>
                <w:kern w:val="0"/>
                <w:sz w:val="24"/>
                <w:szCs w:val="24"/>
              </w:rPr>
            </w:pPr>
            <w:r>
              <w:rPr>
                <w:rFonts w:ascii="仿宋" w:hAnsi="仿宋" w:eastAsia="仿宋" w:cstheme="majorEastAsia"/>
                <w:kern w:val="0"/>
                <w:sz w:val="24"/>
                <w:szCs w:val="24"/>
              </w:rPr>
              <w:t>16</w:t>
            </w:r>
            <w:r>
              <w:rPr>
                <w:rFonts w:hint="eastAsia" w:ascii="仿宋" w:hAnsi="仿宋" w:eastAsia="仿宋" w:cstheme="majorEastAsia"/>
                <w:kern w:val="0"/>
                <w:sz w:val="24"/>
                <w:szCs w:val="24"/>
              </w:rPr>
              <w:t>-</w:t>
            </w:r>
            <w:r>
              <w:rPr>
                <w:rFonts w:ascii="仿宋" w:hAnsi="仿宋" w:eastAsia="仿宋" w:cstheme="majorEastAsia"/>
                <w:kern w:val="0"/>
                <w:sz w:val="24"/>
                <w:szCs w:val="24"/>
              </w:rPr>
              <w:t>20</w:t>
            </w:r>
          </w:p>
        </w:tc>
      </w:tr>
      <w:tr w14:paraId="59E59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1314" w:type="dxa"/>
            <w:vAlign w:val="center"/>
          </w:tcPr>
          <w:p w14:paraId="4C1AC4D4">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合格</w:t>
            </w:r>
          </w:p>
        </w:tc>
        <w:tc>
          <w:tcPr>
            <w:tcW w:w="1314" w:type="dxa"/>
            <w:vAlign w:val="center"/>
          </w:tcPr>
          <w:p w14:paraId="39FDD999">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9-12</w:t>
            </w:r>
          </w:p>
        </w:tc>
        <w:tc>
          <w:tcPr>
            <w:tcW w:w="1314" w:type="dxa"/>
            <w:vAlign w:val="center"/>
          </w:tcPr>
          <w:p w14:paraId="5A91A197">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合格</w:t>
            </w:r>
          </w:p>
        </w:tc>
        <w:tc>
          <w:tcPr>
            <w:tcW w:w="1314" w:type="dxa"/>
            <w:vAlign w:val="center"/>
          </w:tcPr>
          <w:p w14:paraId="1FF103FC">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9-12</w:t>
            </w:r>
          </w:p>
        </w:tc>
        <w:tc>
          <w:tcPr>
            <w:tcW w:w="1314" w:type="dxa"/>
            <w:vAlign w:val="center"/>
          </w:tcPr>
          <w:p w14:paraId="7C32A420">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合格</w:t>
            </w:r>
          </w:p>
        </w:tc>
        <w:tc>
          <w:tcPr>
            <w:tcW w:w="1314" w:type="dxa"/>
            <w:vAlign w:val="center"/>
          </w:tcPr>
          <w:p w14:paraId="3DCF47B3">
            <w:pPr>
              <w:autoSpaceDE w:val="0"/>
              <w:autoSpaceDN w:val="0"/>
              <w:adjustRightInd w:val="0"/>
              <w:snapToGrid w:val="0"/>
              <w:jc w:val="center"/>
              <w:rPr>
                <w:rFonts w:hint="eastAsia" w:ascii="仿宋" w:hAnsi="仿宋" w:eastAsia="仿宋" w:cstheme="majorEastAsia"/>
                <w:kern w:val="0"/>
                <w:sz w:val="24"/>
                <w:szCs w:val="24"/>
              </w:rPr>
            </w:pPr>
            <w:r>
              <w:rPr>
                <w:rFonts w:ascii="仿宋" w:hAnsi="仿宋" w:eastAsia="仿宋" w:cstheme="majorEastAsia"/>
                <w:kern w:val="0"/>
                <w:sz w:val="24"/>
                <w:szCs w:val="24"/>
              </w:rPr>
              <w:t>6-8</w:t>
            </w:r>
          </w:p>
        </w:tc>
        <w:tc>
          <w:tcPr>
            <w:tcW w:w="1314" w:type="dxa"/>
            <w:vAlign w:val="center"/>
          </w:tcPr>
          <w:p w14:paraId="53FE8368">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合格</w:t>
            </w:r>
          </w:p>
        </w:tc>
        <w:tc>
          <w:tcPr>
            <w:tcW w:w="1314" w:type="dxa"/>
            <w:vAlign w:val="center"/>
          </w:tcPr>
          <w:p w14:paraId="6603FD67">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12-16</w:t>
            </w:r>
          </w:p>
        </w:tc>
        <w:tc>
          <w:tcPr>
            <w:tcW w:w="1314" w:type="dxa"/>
            <w:vAlign w:val="center"/>
          </w:tcPr>
          <w:p w14:paraId="421D4357">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合格</w:t>
            </w:r>
          </w:p>
        </w:tc>
        <w:tc>
          <w:tcPr>
            <w:tcW w:w="1314" w:type="dxa"/>
            <w:vAlign w:val="center"/>
          </w:tcPr>
          <w:p w14:paraId="77AD4229">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12-16</w:t>
            </w:r>
          </w:p>
        </w:tc>
        <w:tc>
          <w:tcPr>
            <w:tcW w:w="1314" w:type="dxa"/>
            <w:vAlign w:val="center"/>
          </w:tcPr>
          <w:p w14:paraId="4CD00BC4">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合格</w:t>
            </w:r>
          </w:p>
        </w:tc>
        <w:tc>
          <w:tcPr>
            <w:tcW w:w="1324" w:type="dxa"/>
            <w:vAlign w:val="center"/>
          </w:tcPr>
          <w:p w14:paraId="64603531">
            <w:pPr>
              <w:autoSpaceDE w:val="0"/>
              <w:autoSpaceDN w:val="0"/>
              <w:adjustRightInd w:val="0"/>
              <w:snapToGrid w:val="0"/>
              <w:jc w:val="center"/>
              <w:rPr>
                <w:rFonts w:hint="eastAsia" w:ascii="仿宋" w:hAnsi="仿宋" w:eastAsia="仿宋" w:cstheme="majorEastAsia"/>
                <w:kern w:val="0"/>
                <w:sz w:val="24"/>
                <w:szCs w:val="24"/>
              </w:rPr>
            </w:pPr>
            <w:r>
              <w:rPr>
                <w:rFonts w:ascii="仿宋" w:hAnsi="仿宋" w:eastAsia="仿宋" w:cstheme="majorEastAsia"/>
                <w:kern w:val="0"/>
                <w:sz w:val="24"/>
                <w:szCs w:val="24"/>
              </w:rPr>
              <w:t>12</w:t>
            </w:r>
            <w:r>
              <w:rPr>
                <w:rFonts w:hint="eastAsia" w:ascii="仿宋" w:hAnsi="仿宋" w:eastAsia="仿宋" w:cstheme="majorEastAsia"/>
                <w:kern w:val="0"/>
                <w:sz w:val="24"/>
                <w:szCs w:val="24"/>
              </w:rPr>
              <w:t>-16</w:t>
            </w:r>
          </w:p>
        </w:tc>
      </w:tr>
      <w:tr w14:paraId="1DB74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exact"/>
        </w:trPr>
        <w:tc>
          <w:tcPr>
            <w:tcW w:w="1314" w:type="dxa"/>
            <w:vAlign w:val="center"/>
          </w:tcPr>
          <w:p w14:paraId="5781F4AA">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不合格</w:t>
            </w:r>
          </w:p>
        </w:tc>
        <w:tc>
          <w:tcPr>
            <w:tcW w:w="1314" w:type="dxa"/>
            <w:vAlign w:val="center"/>
          </w:tcPr>
          <w:p w14:paraId="2F94041C">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&lt;9</w:t>
            </w:r>
          </w:p>
        </w:tc>
        <w:tc>
          <w:tcPr>
            <w:tcW w:w="1314" w:type="dxa"/>
            <w:vAlign w:val="center"/>
          </w:tcPr>
          <w:p w14:paraId="5C6E84A8">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不合格</w:t>
            </w:r>
          </w:p>
        </w:tc>
        <w:tc>
          <w:tcPr>
            <w:tcW w:w="1314" w:type="dxa"/>
            <w:vAlign w:val="center"/>
          </w:tcPr>
          <w:p w14:paraId="16E3FCBF">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&lt;9</w:t>
            </w:r>
          </w:p>
        </w:tc>
        <w:tc>
          <w:tcPr>
            <w:tcW w:w="1314" w:type="dxa"/>
            <w:vAlign w:val="center"/>
          </w:tcPr>
          <w:p w14:paraId="4363EB73">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不合格</w:t>
            </w:r>
          </w:p>
        </w:tc>
        <w:tc>
          <w:tcPr>
            <w:tcW w:w="1314" w:type="dxa"/>
            <w:vAlign w:val="center"/>
          </w:tcPr>
          <w:p w14:paraId="6B4C803A">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&lt;6</w:t>
            </w:r>
          </w:p>
        </w:tc>
        <w:tc>
          <w:tcPr>
            <w:tcW w:w="1314" w:type="dxa"/>
            <w:vAlign w:val="center"/>
          </w:tcPr>
          <w:p w14:paraId="70E02F06">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不合格</w:t>
            </w:r>
          </w:p>
        </w:tc>
        <w:tc>
          <w:tcPr>
            <w:tcW w:w="1314" w:type="dxa"/>
            <w:vAlign w:val="center"/>
          </w:tcPr>
          <w:p w14:paraId="6378E00E">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&lt;12</w:t>
            </w:r>
          </w:p>
        </w:tc>
        <w:tc>
          <w:tcPr>
            <w:tcW w:w="1314" w:type="dxa"/>
            <w:vAlign w:val="center"/>
          </w:tcPr>
          <w:p w14:paraId="2F386210">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不合格</w:t>
            </w:r>
          </w:p>
        </w:tc>
        <w:tc>
          <w:tcPr>
            <w:tcW w:w="1314" w:type="dxa"/>
            <w:vAlign w:val="center"/>
          </w:tcPr>
          <w:p w14:paraId="2116C5A6">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&lt;12</w:t>
            </w:r>
          </w:p>
        </w:tc>
        <w:tc>
          <w:tcPr>
            <w:tcW w:w="1314" w:type="dxa"/>
            <w:vAlign w:val="center"/>
          </w:tcPr>
          <w:p w14:paraId="01A92FE0">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不合格</w:t>
            </w:r>
          </w:p>
        </w:tc>
        <w:tc>
          <w:tcPr>
            <w:tcW w:w="1324" w:type="dxa"/>
            <w:vAlign w:val="center"/>
          </w:tcPr>
          <w:p w14:paraId="529E4B30">
            <w:pPr>
              <w:autoSpaceDE w:val="0"/>
              <w:autoSpaceDN w:val="0"/>
              <w:adjustRightInd w:val="0"/>
              <w:snapToGrid w:val="0"/>
              <w:jc w:val="center"/>
              <w:rPr>
                <w:rFonts w:hint="eastAsia" w:ascii="仿宋" w:hAnsi="仿宋" w:eastAsia="仿宋" w:cstheme="majorEastAsia"/>
                <w:kern w:val="0"/>
                <w:sz w:val="24"/>
                <w:szCs w:val="24"/>
              </w:rPr>
            </w:pPr>
            <w:r>
              <w:rPr>
                <w:rFonts w:hint="eastAsia" w:ascii="仿宋" w:hAnsi="仿宋" w:eastAsia="仿宋" w:cstheme="majorEastAsia"/>
                <w:kern w:val="0"/>
                <w:sz w:val="24"/>
                <w:szCs w:val="24"/>
              </w:rPr>
              <w:t>&lt;12</w:t>
            </w:r>
          </w:p>
        </w:tc>
      </w:tr>
    </w:tbl>
    <w:p w14:paraId="1C2D9CFB">
      <w:pPr>
        <w:tabs>
          <w:tab w:val="left" w:pos="7073"/>
        </w:tabs>
        <w:rPr>
          <w:rFonts w:hint="eastAsia" w:ascii="仿宋" w:hAnsi="仿宋" w:eastAsia="仿宋" w:cstheme="majorEastAsia"/>
          <w:sz w:val="24"/>
          <w:szCs w:val="24"/>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6067B4"/>
    <w:multiLevelType w:val="singleLevel"/>
    <w:tmpl w:val="A56067B4"/>
    <w:lvl w:ilvl="0" w:tentative="0">
      <w:start w:val="1"/>
      <w:numFmt w:val="chineseCounting"/>
      <w:suff w:val="nothing"/>
      <w:lvlText w:val="%1、"/>
      <w:lvlJc w:val="left"/>
      <w:rPr>
        <w:rFonts w:hint="eastAsia"/>
      </w:rPr>
    </w:lvl>
  </w:abstractNum>
  <w:abstractNum w:abstractNumId="1">
    <w:nsid w:val="53F055C1"/>
    <w:multiLevelType w:val="multilevel"/>
    <w:tmpl w:val="53F055C1"/>
    <w:lvl w:ilvl="0" w:tentative="0">
      <w:start w:val="6"/>
      <w:numFmt w:val="japaneseCounting"/>
      <w:lvlText w:val="%1、"/>
      <w:lvlJc w:val="left"/>
      <w:pPr>
        <w:ind w:left="480" w:hanging="480"/>
      </w:pPr>
      <w:rPr>
        <w:rFonts w:hint="default"/>
        <w:color w:val="00000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C4DFBC1"/>
    <w:multiLevelType w:val="singleLevel"/>
    <w:tmpl w:val="6C4DFBC1"/>
    <w:lvl w:ilvl="0" w:tentative="0">
      <w:start w:val="1"/>
      <w:numFmt w:val="decimal"/>
      <w:suff w:val="space"/>
      <w:lvlText w:val="%1."/>
      <w:lvlJc w:val="left"/>
    </w:lvl>
  </w:abstractNum>
  <w:abstractNum w:abstractNumId="3">
    <w:nsid w:val="7046E5E4"/>
    <w:multiLevelType w:val="singleLevel"/>
    <w:tmpl w:val="7046E5E4"/>
    <w:lvl w:ilvl="0" w:tentative="0">
      <w:start w:val="2"/>
      <w:numFmt w:val="decimal"/>
      <w:suff w:val="space"/>
      <w:lvlText w:val="%1."/>
      <w:lvlJc w:val="left"/>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hjOWU5Y2UxNTBkODM5ZDRkOWQ2ZjZhMTA1Nzc1YWIifQ=="/>
  </w:docVars>
  <w:rsids>
    <w:rsidRoot w:val="009C2DA6"/>
    <w:rsid w:val="00025C5C"/>
    <w:rsid w:val="00030B92"/>
    <w:rsid w:val="00035B53"/>
    <w:rsid w:val="00194BE7"/>
    <w:rsid w:val="001B772B"/>
    <w:rsid w:val="001D648E"/>
    <w:rsid w:val="001E3D15"/>
    <w:rsid w:val="002337E4"/>
    <w:rsid w:val="002976E4"/>
    <w:rsid w:val="003016E9"/>
    <w:rsid w:val="00303853"/>
    <w:rsid w:val="00331A1B"/>
    <w:rsid w:val="003A7C58"/>
    <w:rsid w:val="003C1219"/>
    <w:rsid w:val="003D0BE3"/>
    <w:rsid w:val="00403880"/>
    <w:rsid w:val="004065D9"/>
    <w:rsid w:val="004251A1"/>
    <w:rsid w:val="00425D6B"/>
    <w:rsid w:val="00430623"/>
    <w:rsid w:val="004333DC"/>
    <w:rsid w:val="00476F51"/>
    <w:rsid w:val="004775BB"/>
    <w:rsid w:val="00482657"/>
    <w:rsid w:val="0051437E"/>
    <w:rsid w:val="00535F86"/>
    <w:rsid w:val="0056084E"/>
    <w:rsid w:val="00572BF3"/>
    <w:rsid w:val="005B0636"/>
    <w:rsid w:val="005D5199"/>
    <w:rsid w:val="0060778D"/>
    <w:rsid w:val="0062188F"/>
    <w:rsid w:val="00656684"/>
    <w:rsid w:val="00663E7C"/>
    <w:rsid w:val="006767C4"/>
    <w:rsid w:val="00686FDA"/>
    <w:rsid w:val="006A0531"/>
    <w:rsid w:val="006A411B"/>
    <w:rsid w:val="006F44A6"/>
    <w:rsid w:val="00760420"/>
    <w:rsid w:val="007615F4"/>
    <w:rsid w:val="0077325B"/>
    <w:rsid w:val="00797384"/>
    <w:rsid w:val="007A5DE1"/>
    <w:rsid w:val="007D2DA9"/>
    <w:rsid w:val="00803A5C"/>
    <w:rsid w:val="00852C75"/>
    <w:rsid w:val="008A1756"/>
    <w:rsid w:val="00906820"/>
    <w:rsid w:val="00910B2D"/>
    <w:rsid w:val="00925D99"/>
    <w:rsid w:val="00942BDF"/>
    <w:rsid w:val="009C2DA6"/>
    <w:rsid w:val="00AA0C23"/>
    <w:rsid w:val="00AA50CA"/>
    <w:rsid w:val="00B117E3"/>
    <w:rsid w:val="00B55194"/>
    <w:rsid w:val="00B8382D"/>
    <w:rsid w:val="00B93C16"/>
    <w:rsid w:val="00BE5111"/>
    <w:rsid w:val="00C40851"/>
    <w:rsid w:val="00C764EE"/>
    <w:rsid w:val="00C84617"/>
    <w:rsid w:val="00CA4CC1"/>
    <w:rsid w:val="00CC6898"/>
    <w:rsid w:val="00D83DC6"/>
    <w:rsid w:val="00D8638F"/>
    <w:rsid w:val="00DE2964"/>
    <w:rsid w:val="00EE5CA9"/>
    <w:rsid w:val="00EE679D"/>
    <w:rsid w:val="00F07C56"/>
    <w:rsid w:val="00F23BFA"/>
    <w:rsid w:val="00F33539"/>
    <w:rsid w:val="00FB03F6"/>
    <w:rsid w:val="00FD2E2F"/>
    <w:rsid w:val="00FD3341"/>
    <w:rsid w:val="00FF7DD6"/>
    <w:rsid w:val="02660855"/>
    <w:rsid w:val="04211D3E"/>
    <w:rsid w:val="074E3899"/>
    <w:rsid w:val="085D478F"/>
    <w:rsid w:val="0ACA17F4"/>
    <w:rsid w:val="0C1E359C"/>
    <w:rsid w:val="0C8824FA"/>
    <w:rsid w:val="0D4A2E9A"/>
    <w:rsid w:val="0DFA66E2"/>
    <w:rsid w:val="0DFB23AB"/>
    <w:rsid w:val="0EAF04B5"/>
    <w:rsid w:val="0EB07191"/>
    <w:rsid w:val="0F8D71F3"/>
    <w:rsid w:val="10642397"/>
    <w:rsid w:val="11674D31"/>
    <w:rsid w:val="127D4B51"/>
    <w:rsid w:val="13D0018D"/>
    <w:rsid w:val="14636755"/>
    <w:rsid w:val="1498341E"/>
    <w:rsid w:val="15245CF9"/>
    <w:rsid w:val="15B117CA"/>
    <w:rsid w:val="16007A01"/>
    <w:rsid w:val="16211C05"/>
    <w:rsid w:val="16C3745D"/>
    <w:rsid w:val="17595C31"/>
    <w:rsid w:val="17DF05C7"/>
    <w:rsid w:val="1A0F7664"/>
    <w:rsid w:val="1DF11CF7"/>
    <w:rsid w:val="1E67634C"/>
    <w:rsid w:val="23376DDA"/>
    <w:rsid w:val="24455693"/>
    <w:rsid w:val="25C42BBE"/>
    <w:rsid w:val="26B60003"/>
    <w:rsid w:val="27587674"/>
    <w:rsid w:val="282C1FEC"/>
    <w:rsid w:val="28687960"/>
    <w:rsid w:val="2A12050F"/>
    <w:rsid w:val="2B82309E"/>
    <w:rsid w:val="2C58026F"/>
    <w:rsid w:val="2D1F59CD"/>
    <w:rsid w:val="30441877"/>
    <w:rsid w:val="31AB5CAB"/>
    <w:rsid w:val="32C96D3C"/>
    <w:rsid w:val="32F93E6E"/>
    <w:rsid w:val="339A10EE"/>
    <w:rsid w:val="33E95137"/>
    <w:rsid w:val="3660313C"/>
    <w:rsid w:val="37367149"/>
    <w:rsid w:val="3929547F"/>
    <w:rsid w:val="3B555684"/>
    <w:rsid w:val="3C0762A5"/>
    <w:rsid w:val="3C460A36"/>
    <w:rsid w:val="3CBD0EC3"/>
    <w:rsid w:val="3D71033E"/>
    <w:rsid w:val="3E1A360C"/>
    <w:rsid w:val="41FF619A"/>
    <w:rsid w:val="421B2BB1"/>
    <w:rsid w:val="4274360F"/>
    <w:rsid w:val="44800928"/>
    <w:rsid w:val="460C1740"/>
    <w:rsid w:val="483F4496"/>
    <w:rsid w:val="4B57023C"/>
    <w:rsid w:val="4BA951A6"/>
    <w:rsid w:val="4BC14ED4"/>
    <w:rsid w:val="4CB85A97"/>
    <w:rsid w:val="4CBB1ABE"/>
    <w:rsid w:val="4CD81CAD"/>
    <w:rsid w:val="4D0335C0"/>
    <w:rsid w:val="4DC17BD0"/>
    <w:rsid w:val="4EF337B4"/>
    <w:rsid w:val="50100318"/>
    <w:rsid w:val="52285607"/>
    <w:rsid w:val="5833557A"/>
    <w:rsid w:val="59F21A5A"/>
    <w:rsid w:val="5ABD5972"/>
    <w:rsid w:val="5B7B5EDD"/>
    <w:rsid w:val="5C167BA1"/>
    <w:rsid w:val="61EA5BC8"/>
    <w:rsid w:val="6588753C"/>
    <w:rsid w:val="665E3F50"/>
    <w:rsid w:val="695A51D5"/>
    <w:rsid w:val="6B7E719A"/>
    <w:rsid w:val="6D216C45"/>
    <w:rsid w:val="6D944293"/>
    <w:rsid w:val="6F344240"/>
    <w:rsid w:val="6FB75154"/>
    <w:rsid w:val="6FBF256E"/>
    <w:rsid w:val="70875744"/>
    <w:rsid w:val="71F73E90"/>
    <w:rsid w:val="7334104C"/>
    <w:rsid w:val="74C27FBB"/>
    <w:rsid w:val="752A1948"/>
    <w:rsid w:val="752D7D42"/>
    <w:rsid w:val="7A6A48FC"/>
    <w:rsid w:val="7B4B3941"/>
    <w:rsid w:val="7B5E2BE8"/>
    <w:rsid w:val="7BD018DD"/>
    <w:rsid w:val="7D552FF0"/>
    <w:rsid w:val="7D6B219D"/>
    <w:rsid w:val="7E276C7B"/>
    <w:rsid w:val="7ECD04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9"/>
    <w:semiHidden/>
    <w:unhideWhenUsed/>
    <w:qFormat/>
    <w:uiPriority w:val="99"/>
    <w:pPr>
      <w:ind w:left="100" w:leftChars="2500"/>
    </w:pPr>
  </w:style>
  <w:style w:type="paragraph" w:styleId="3">
    <w:name w:val="Balloon Text"/>
    <w:basedOn w:val="1"/>
    <w:link w:val="17"/>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customStyle="1" w:styleId="11">
    <w:name w:val="页眉 字符"/>
    <w:basedOn w:val="9"/>
    <w:link w:val="5"/>
    <w:qFormat/>
    <w:uiPriority w:val="99"/>
    <w:rPr>
      <w:sz w:val="18"/>
      <w:szCs w:val="18"/>
    </w:rPr>
  </w:style>
  <w:style w:type="character" w:customStyle="1" w:styleId="12">
    <w:name w:val="页脚 字符"/>
    <w:basedOn w:val="9"/>
    <w:link w:val="4"/>
    <w:qFormat/>
    <w:uiPriority w:val="99"/>
    <w:rPr>
      <w:sz w:val="18"/>
      <w:szCs w:val="18"/>
    </w:rPr>
  </w:style>
  <w:style w:type="paragraph" w:customStyle="1" w:styleId="13">
    <w:name w:val="vsbcontent_star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4">
    <w:name w:val="vsbcontent_end"/>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5">
    <w:name w:val="titlestyle1"/>
    <w:basedOn w:val="9"/>
    <w:qFormat/>
    <w:uiPriority w:val="0"/>
    <w:rPr>
      <w:rFonts w:hint="eastAsia" w:ascii="黑体" w:hAnsi="黑体" w:eastAsia="黑体"/>
      <w:color w:val="990000"/>
      <w:sz w:val="32"/>
      <w:szCs w:val="32"/>
    </w:rPr>
  </w:style>
  <w:style w:type="character" w:customStyle="1" w:styleId="16">
    <w:name w:val="style6"/>
    <w:basedOn w:val="9"/>
    <w:qFormat/>
    <w:uiPriority w:val="0"/>
  </w:style>
  <w:style w:type="character" w:customStyle="1" w:styleId="17">
    <w:name w:val="批注框文本 字符"/>
    <w:basedOn w:val="9"/>
    <w:link w:val="3"/>
    <w:semiHidden/>
    <w:qFormat/>
    <w:uiPriority w:val="99"/>
    <w:rPr>
      <w:sz w:val="18"/>
      <w:szCs w:val="18"/>
    </w:rPr>
  </w:style>
  <w:style w:type="paragraph" w:styleId="18">
    <w:name w:val="List Paragraph"/>
    <w:basedOn w:val="1"/>
    <w:qFormat/>
    <w:uiPriority w:val="34"/>
    <w:pPr>
      <w:ind w:firstLine="420" w:firstLineChars="200"/>
    </w:pPr>
  </w:style>
  <w:style w:type="character" w:customStyle="1" w:styleId="19">
    <w:name w:val="日期 字符"/>
    <w:basedOn w:val="9"/>
    <w:link w:val="2"/>
    <w:semiHidden/>
    <w:qFormat/>
    <w:uiPriority w:val="99"/>
    <w:rPr>
      <w:rFonts w:asciiTheme="minorHAnsi" w:hAnsiTheme="minorHAnsi" w:eastAsiaTheme="minorEastAsia" w:cstheme="minorBidi"/>
      <w:kern w:val="2"/>
      <w:sz w:val="21"/>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1931</Words>
  <Characters>2037</Characters>
  <Lines>100</Lines>
  <Paragraphs>113</Paragraphs>
  <TotalTime>342</TotalTime>
  <ScaleCrop>false</ScaleCrop>
  <LinksUpToDate>false</LinksUpToDate>
  <CharactersWithSpaces>2043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2022-04-12T05:17:00Z</dcterms:created>
  <dc:creator>vickyhu</dc:creator>
  <cp:lastModifiedBy>ZD-国际教育学院</cp:lastModifiedBy>
  <cp:lastPrinted>2023-04-13T07:43:00Z</cp:lastPrinted>
  <dcterms:modified xsi:type="dcterms:W3CDTF">2026-09-11T01:56:51Z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ECD603C3A89949FC948D1ED5A4B43AF8_12</vt:lpwstr>
  </property>
  <property fmtid="{D5CDD505-2E9C-101B-9397-08002B2CF9AE}" pid="4" name="KSOTemplateDocerSaveRecord">
    <vt:lpwstr>eyJoZGlkIjoiYTk1NTcwNjhmMjBjOTgxMzkzMGI1NzY5YWQwYzE4Y2EiLCJ1c2VySWQiOiIzNDg4MDM5MjgifQ==</vt:lpwstr>
  </property>
</Properties>
</file>